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5A53" w14:textId="77777777" w:rsidR="00186E2D" w:rsidRPr="00F4737B" w:rsidRDefault="00F87592" w:rsidP="007A2404">
      <w:pPr>
        <w:spacing w:after="0" w:line="240" w:lineRule="auto"/>
        <w:jc w:val="center"/>
        <w:rPr>
          <w:rFonts w:ascii="Times New Roman" w:hAnsi="Times New Roman" w:cs="Times New Roman"/>
          <w:b/>
          <w:sz w:val="24"/>
          <w:szCs w:val="24"/>
        </w:rPr>
      </w:pPr>
      <w:r w:rsidRPr="00F4737B">
        <w:rPr>
          <w:rFonts w:ascii="Times New Roman" w:hAnsi="Times New Roman" w:cs="Times New Roman"/>
          <w:b/>
          <w:sz w:val="24"/>
          <w:szCs w:val="24"/>
        </w:rPr>
        <w:t xml:space="preserve">A végfelhasználók jogai az új </w:t>
      </w:r>
      <w:r w:rsidR="002D1920" w:rsidRPr="00F4737B">
        <w:rPr>
          <w:rFonts w:ascii="Times New Roman" w:hAnsi="Times New Roman" w:cs="Times New Roman"/>
          <w:b/>
          <w:sz w:val="24"/>
          <w:szCs w:val="24"/>
        </w:rPr>
        <w:t xml:space="preserve">európai </w:t>
      </w:r>
      <w:r w:rsidRPr="00F4737B">
        <w:rPr>
          <w:rFonts w:ascii="Times New Roman" w:hAnsi="Times New Roman" w:cs="Times New Roman"/>
          <w:b/>
          <w:sz w:val="24"/>
          <w:szCs w:val="24"/>
        </w:rPr>
        <w:t>elektronikus hírközlési kódexben</w:t>
      </w:r>
    </w:p>
    <w:p w14:paraId="7CCD3F0B" w14:textId="77777777" w:rsidR="00F4737B" w:rsidRDefault="00F4737B" w:rsidP="007A2404">
      <w:pPr>
        <w:spacing w:after="0" w:line="240" w:lineRule="auto"/>
        <w:jc w:val="center"/>
        <w:rPr>
          <w:rFonts w:ascii="Times New Roman" w:hAnsi="Times New Roman" w:cs="Times New Roman"/>
          <w:sz w:val="24"/>
          <w:szCs w:val="24"/>
        </w:rPr>
      </w:pPr>
    </w:p>
    <w:p w14:paraId="68F89436" w14:textId="7EB529DD" w:rsidR="00F4737B" w:rsidRDefault="007A2404" w:rsidP="007A24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Kovács Anita</w:t>
      </w:r>
    </w:p>
    <w:p w14:paraId="6E1A36CC" w14:textId="26CDD909" w:rsidR="007A2404" w:rsidRDefault="007A2404" w:rsidP="007A24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Telenor Magyarország Zrt.</w:t>
      </w:r>
    </w:p>
    <w:p w14:paraId="420C057C" w14:textId="13EE1EF5" w:rsidR="007A2404" w:rsidRDefault="00B313A2" w:rsidP="007A2404">
      <w:pPr>
        <w:spacing w:after="0" w:line="240" w:lineRule="auto"/>
        <w:jc w:val="center"/>
        <w:rPr>
          <w:rFonts w:ascii="Times New Roman" w:hAnsi="Times New Roman" w:cs="Times New Roman"/>
          <w:sz w:val="24"/>
          <w:szCs w:val="24"/>
        </w:rPr>
      </w:pPr>
      <w:hyperlink r:id="rId9" w:history="1">
        <w:r w:rsidR="007A2404" w:rsidRPr="00EE41EC">
          <w:rPr>
            <w:rStyle w:val="Hyperlink"/>
            <w:rFonts w:ascii="Times New Roman" w:hAnsi="Times New Roman" w:cs="Times New Roman"/>
            <w:sz w:val="24"/>
            <w:szCs w:val="24"/>
          </w:rPr>
          <w:t>AnitaKovacs@telenor.hu</w:t>
        </w:r>
      </w:hyperlink>
    </w:p>
    <w:p w14:paraId="2CECBFA5" w14:textId="77777777" w:rsidR="007A2404" w:rsidRDefault="007A2404" w:rsidP="00F4737B">
      <w:pPr>
        <w:spacing w:after="0" w:line="240" w:lineRule="auto"/>
        <w:rPr>
          <w:rFonts w:ascii="Times New Roman" w:hAnsi="Times New Roman" w:cs="Times New Roman"/>
          <w:sz w:val="24"/>
          <w:szCs w:val="24"/>
        </w:rPr>
      </w:pPr>
    </w:p>
    <w:p w14:paraId="2E449A22" w14:textId="3AF9EF83" w:rsidR="00F4737B" w:rsidRPr="00F4737B" w:rsidRDefault="00F4737B" w:rsidP="00F4737B">
      <w:pPr>
        <w:spacing w:after="0" w:line="240" w:lineRule="auto"/>
        <w:rPr>
          <w:rFonts w:ascii="Times New Roman" w:hAnsi="Times New Roman" w:cs="Times New Roman"/>
          <w:sz w:val="24"/>
          <w:szCs w:val="24"/>
        </w:rPr>
      </w:pPr>
      <w:r w:rsidRPr="00F4737B">
        <w:rPr>
          <w:rFonts w:ascii="Times New Roman" w:hAnsi="Times New Roman" w:cs="Times New Roman"/>
          <w:sz w:val="24"/>
          <w:szCs w:val="24"/>
        </w:rPr>
        <w:t>Tartalmi kivonat:</w:t>
      </w:r>
    </w:p>
    <w:p w14:paraId="235AC857" w14:textId="77777777" w:rsidR="00F4737B" w:rsidRDefault="00F4737B" w:rsidP="00F4737B">
      <w:pPr>
        <w:spacing w:after="0" w:line="240" w:lineRule="auto"/>
        <w:rPr>
          <w:rFonts w:ascii="Times New Roman" w:hAnsi="Times New Roman" w:cs="Times New Roman"/>
          <w:sz w:val="24"/>
          <w:szCs w:val="24"/>
          <w:lang w:val="en-US"/>
        </w:rPr>
      </w:pPr>
    </w:p>
    <w:p w14:paraId="0D15F7F9" w14:textId="069BB534" w:rsidR="00F4737B" w:rsidRPr="00F4737B" w:rsidRDefault="00F4737B" w:rsidP="00F4737B">
      <w:pPr>
        <w:spacing w:after="0" w:line="240" w:lineRule="auto"/>
        <w:rPr>
          <w:rFonts w:ascii="Times New Roman" w:hAnsi="Times New Roman" w:cs="Times New Roman"/>
          <w:sz w:val="24"/>
          <w:szCs w:val="24"/>
          <w:lang w:val="en-US"/>
        </w:rPr>
      </w:pPr>
      <w:r w:rsidRPr="00F4737B">
        <w:rPr>
          <w:rFonts w:ascii="Times New Roman" w:hAnsi="Times New Roman" w:cs="Times New Roman"/>
          <w:sz w:val="24"/>
          <w:szCs w:val="24"/>
          <w:lang w:val="en-US"/>
        </w:rPr>
        <w:t xml:space="preserve">Legkésőbb 2020 végétől az elektronikus hírközlési </w:t>
      </w:r>
      <w:r w:rsidR="00CC4DDD">
        <w:rPr>
          <w:rFonts w:ascii="Times New Roman" w:hAnsi="Times New Roman" w:cs="Times New Roman"/>
          <w:sz w:val="24"/>
          <w:szCs w:val="24"/>
          <w:lang w:val="en-US"/>
        </w:rPr>
        <w:t>szolgáltatások</w:t>
      </w:r>
      <w:r w:rsidRPr="00F4737B">
        <w:rPr>
          <w:rFonts w:ascii="Times New Roman" w:hAnsi="Times New Roman" w:cs="Times New Roman"/>
          <w:sz w:val="24"/>
          <w:szCs w:val="24"/>
          <w:lang w:val="en-US"/>
        </w:rPr>
        <w:t xml:space="preserve"> magyarországi végfelhasználói, az ezeket nyújtó vállalkozások</w:t>
      </w:r>
      <w:r w:rsidR="00CC4DDD">
        <w:rPr>
          <w:rFonts w:ascii="Times New Roman" w:hAnsi="Times New Roman" w:cs="Times New Roman"/>
          <w:sz w:val="24"/>
          <w:szCs w:val="24"/>
          <w:lang w:val="en-US"/>
        </w:rPr>
        <w:t>,</w:t>
      </w:r>
      <w:r w:rsidRPr="00F4737B">
        <w:rPr>
          <w:rFonts w:ascii="Times New Roman" w:hAnsi="Times New Roman" w:cs="Times New Roman"/>
          <w:sz w:val="24"/>
          <w:szCs w:val="24"/>
          <w:lang w:val="en-US"/>
        </w:rPr>
        <w:t xml:space="preserve"> valamint a hírközlési ágazatot felügyelő szabályozó hatóságok jogait és kötelezettségeit egy</w:t>
      </w:r>
      <w:r w:rsidR="00CC4DDD">
        <w:rPr>
          <w:rFonts w:ascii="Times New Roman" w:hAnsi="Times New Roman" w:cs="Times New Roman"/>
          <w:sz w:val="24"/>
          <w:szCs w:val="24"/>
          <w:lang w:val="en-US"/>
        </w:rPr>
        <w:t>,</w:t>
      </w:r>
      <w:r w:rsidRPr="00F4737B">
        <w:rPr>
          <w:rFonts w:ascii="Times New Roman" w:hAnsi="Times New Roman" w:cs="Times New Roman"/>
          <w:sz w:val="24"/>
          <w:szCs w:val="24"/>
          <w:lang w:val="en-US"/>
        </w:rPr>
        <w:t xml:space="preserve"> a mostanihoz képest nem teljesen új, de sok tekintetben jelentős változásokat tartalmazó szabályrendszer alakítja majd. </w:t>
      </w:r>
      <w:r w:rsidR="00CC4DDD">
        <w:rPr>
          <w:rFonts w:ascii="Times New Roman" w:hAnsi="Times New Roman" w:cs="Times New Roman"/>
          <w:sz w:val="24"/>
          <w:szCs w:val="24"/>
          <w:lang w:val="en-US"/>
        </w:rPr>
        <w:t>Ez az új szabályrendszer a 2018</w:t>
      </w:r>
      <w:r w:rsidRPr="00F4737B">
        <w:rPr>
          <w:rFonts w:ascii="Times New Roman" w:hAnsi="Times New Roman" w:cs="Times New Roman"/>
          <w:sz w:val="24"/>
          <w:szCs w:val="24"/>
          <w:lang w:val="en-US"/>
        </w:rPr>
        <w:t xml:space="preserve"> decemberében hatályba lépett Európai Elektronikus Hírközlési Kódexből fakad, ami fenntartja és modernizálni kívánja az iparágra vonatkozó jelenlegi EU-s keretszabályozást. A Kódex fogyasztóvédelmi fejezete, a végfelhasználók jogait körülíró rendelkezések legfontosabb újdonsága az elektronikus hírközlési szolgáltatások definíciójának </w:t>
      </w:r>
      <w:r w:rsidR="00B313A2">
        <w:rPr>
          <w:rFonts w:ascii="Times New Roman" w:hAnsi="Times New Roman" w:cs="Times New Roman"/>
          <w:sz w:val="24"/>
          <w:szCs w:val="24"/>
          <w:lang w:val="en-US"/>
        </w:rPr>
        <w:t>újragondolása, kiterjesztése az</w:t>
      </w:r>
      <w:r w:rsidR="00200222">
        <w:rPr>
          <w:rFonts w:ascii="Times New Roman" w:hAnsi="Times New Roman" w:cs="Times New Roman"/>
          <w:sz w:val="24"/>
          <w:szCs w:val="24"/>
          <w:lang w:val="en-US"/>
        </w:rPr>
        <w:t xml:space="preserve"> </w:t>
      </w:r>
      <w:r w:rsidRPr="00F4737B">
        <w:rPr>
          <w:rFonts w:ascii="Times New Roman" w:hAnsi="Times New Roman" w:cs="Times New Roman"/>
          <w:sz w:val="24"/>
          <w:szCs w:val="24"/>
          <w:lang w:val="en-US"/>
        </w:rPr>
        <w:t xml:space="preserve"> ún. OTT kommunikációs szolgáltatásokra, illetve az ún. maximum harmonizációs megközelítés. Több-kevesebb újdonság található az elektronikus hírközlési szolgáltatások igénybevételéről a végfelhasználókkal kötött szerződésekre vonatkozó tájékoztatási követelményekre, a szolgáltatások tarifáinak és egyéb feltételeinek átláthatóságára, a szolgáltatásminőségre, a szolgáltatóváltást elősegítő előírásokra, a segélyhívási célú kommunikációra vonatkozó előírásokban is. A cikk ezekről a változásokról kíván rövid áttekintést nyújtani.</w:t>
      </w:r>
    </w:p>
    <w:p w14:paraId="6CC47A95" w14:textId="77777777" w:rsidR="00F4737B" w:rsidRDefault="00F4737B" w:rsidP="00F4737B">
      <w:pPr>
        <w:spacing w:after="0" w:line="240" w:lineRule="auto"/>
        <w:rPr>
          <w:rFonts w:ascii="Times New Roman" w:eastAsia="Times New Roman" w:hAnsi="Times New Roman" w:cs="Times New Roman"/>
          <w:sz w:val="24"/>
          <w:szCs w:val="24"/>
        </w:rPr>
      </w:pPr>
    </w:p>
    <w:p w14:paraId="17E0A5E8" w14:textId="204966D0" w:rsidR="00F4737B" w:rsidRDefault="00F4737B" w:rsidP="00F47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Kulcsszavak:</w:t>
      </w:r>
    </w:p>
    <w:p w14:paraId="489FA32F" w14:textId="77777777" w:rsidR="00F4737B" w:rsidRDefault="00F4737B" w:rsidP="00F4737B">
      <w:pPr>
        <w:spacing w:after="0" w:line="240" w:lineRule="auto"/>
        <w:rPr>
          <w:rFonts w:ascii="Times New Roman" w:eastAsia="Times New Roman" w:hAnsi="Times New Roman" w:cs="Times New Roman"/>
          <w:sz w:val="24"/>
          <w:szCs w:val="24"/>
        </w:rPr>
      </w:pPr>
    </w:p>
    <w:p w14:paraId="76316A37" w14:textId="1F30272E" w:rsidR="00F4737B" w:rsidRDefault="00F4737B" w:rsidP="00F47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4737B">
        <w:rPr>
          <w:rFonts w:ascii="Times New Roman" w:eastAsia="Times New Roman" w:hAnsi="Times New Roman" w:cs="Times New Roman"/>
          <w:sz w:val="24"/>
          <w:szCs w:val="24"/>
        </w:rPr>
        <w:t>lektronik</w:t>
      </w:r>
      <w:r w:rsidR="00051078">
        <w:rPr>
          <w:rFonts w:ascii="Times New Roman" w:eastAsia="Times New Roman" w:hAnsi="Times New Roman" w:cs="Times New Roman"/>
          <w:sz w:val="24"/>
          <w:szCs w:val="24"/>
        </w:rPr>
        <w:t>us hírközlési ágazat</w:t>
      </w:r>
      <w:r w:rsidRPr="00F4737B">
        <w:rPr>
          <w:rFonts w:ascii="Times New Roman" w:eastAsia="Times New Roman" w:hAnsi="Times New Roman" w:cs="Times New Roman"/>
          <w:sz w:val="24"/>
          <w:szCs w:val="24"/>
        </w:rPr>
        <w:t xml:space="preserve"> keretsz</w:t>
      </w:r>
      <w:r w:rsidR="00051078">
        <w:rPr>
          <w:rFonts w:ascii="Times New Roman" w:eastAsia="Times New Roman" w:hAnsi="Times New Roman" w:cs="Times New Roman"/>
          <w:sz w:val="24"/>
          <w:szCs w:val="24"/>
        </w:rPr>
        <w:t>abályozása</w:t>
      </w:r>
      <w:r w:rsidRPr="00F4737B">
        <w:rPr>
          <w:rFonts w:ascii="Times New Roman" w:eastAsia="Times New Roman" w:hAnsi="Times New Roman" w:cs="Times New Roman"/>
          <w:sz w:val="24"/>
          <w:szCs w:val="24"/>
        </w:rPr>
        <w:t>, végfelhasználói jogok, új Európai Elektronikus Hírközlési Kódex, a kommunikációs szolgáltatások új definíciója</w:t>
      </w:r>
    </w:p>
    <w:p w14:paraId="2F44220F" w14:textId="77777777" w:rsidR="00F4737B" w:rsidRPr="00F4737B" w:rsidRDefault="00F4737B" w:rsidP="00F4737B">
      <w:pPr>
        <w:spacing w:after="0" w:line="240" w:lineRule="auto"/>
        <w:rPr>
          <w:rFonts w:ascii="Times New Roman" w:hAnsi="Times New Roman" w:cs="Times New Roman"/>
          <w:sz w:val="24"/>
          <w:szCs w:val="24"/>
          <w:lang w:val="en-US"/>
        </w:rPr>
      </w:pPr>
    </w:p>
    <w:p w14:paraId="2169E524" w14:textId="77777777" w:rsidR="002A4518" w:rsidRPr="00127179" w:rsidRDefault="00127179" w:rsidP="00127179">
      <w:pPr>
        <w:rPr>
          <w:rFonts w:ascii="Times New Roman" w:hAnsi="Times New Roman" w:cs="Times New Roman"/>
          <w:b/>
          <w:sz w:val="24"/>
          <w:szCs w:val="24"/>
        </w:rPr>
      </w:pPr>
      <w:r w:rsidRPr="00127179">
        <w:rPr>
          <w:rFonts w:ascii="Times New Roman" w:hAnsi="Times New Roman" w:cs="Times New Roman"/>
          <w:b/>
          <w:sz w:val="24"/>
          <w:szCs w:val="24"/>
        </w:rPr>
        <w:t>1.</w:t>
      </w:r>
      <w:r>
        <w:rPr>
          <w:rFonts w:ascii="Times New Roman" w:hAnsi="Times New Roman" w:cs="Times New Roman"/>
          <w:b/>
          <w:sz w:val="24"/>
          <w:szCs w:val="24"/>
        </w:rPr>
        <w:t xml:space="preserve"> </w:t>
      </w:r>
      <w:r w:rsidR="002A4518" w:rsidRPr="00127179">
        <w:rPr>
          <w:rFonts w:ascii="Times New Roman" w:hAnsi="Times New Roman" w:cs="Times New Roman"/>
          <w:b/>
          <w:sz w:val="24"/>
          <w:szCs w:val="24"/>
        </w:rPr>
        <w:t xml:space="preserve">Bevezetés: </w:t>
      </w:r>
      <w:r w:rsidRPr="00127179">
        <w:rPr>
          <w:rFonts w:ascii="Times New Roman" w:hAnsi="Times New Roman" w:cs="Times New Roman"/>
          <w:b/>
          <w:sz w:val="24"/>
          <w:szCs w:val="24"/>
        </w:rPr>
        <w:t>a</w:t>
      </w:r>
      <w:r>
        <w:rPr>
          <w:rFonts w:ascii="Times New Roman" w:hAnsi="Times New Roman" w:cs="Times New Roman"/>
          <w:b/>
          <w:sz w:val="24"/>
          <w:szCs w:val="24"/>
        </w:rPr>
        <w:t>z elektronikus hírközlési szolgáltatások végfelhasználóinak</w:t>
      </w:r>
      <w:r w:rsidRPr="00127179">
        <w:rPr>
          <w:rFonts w:ascii="Times New Roman" w:hAnsi="Times New Roman" w:cs="Times New Roman"/>
          <w:b/>
          <w:sz w:val="24"/>
          <w:szCs w:val="24"/>
        </w:rPr>
        <w:t xml:space="preserve"> jogaira vonatkozó európai jogalkotás kontextusa</w:t>
      </w:r>
    </w:p>
    <w:p w14:paraId="76885863" w14:textId="77777777" w:rsidR="00F87592" w:rsidRPr="00692D0E" w:rsidRDefault="0060250C" w:rsidP="0060250C">
      <w:pPr>
        <w:jc w:val="both"/>
        <w:rPr>
          <w:rFonts w:ascii="Times New Roman" w:hAnsi="Times New Roman" w:cs="Times New Roman"/>
          <w:sz w:val="24"/>
          <w:szCs w:val="24"/>
        </w:rPr>
      </w:pPr>
      <w:r w:rsidRPr="00692D0E">
        <w:rPr>
          <w:rFonts w:ascii="Times New Roman" w:hAnsi="Times New Roman" w:cs="Times New Roman"/>
          <w:sz w:val="24"/>
          <w:szCs w:val="24"/>
        </w:rPr>
        <w:t xml:space="preserve">Közel négy éves európai szintű jogalkotási folyamat eredményeként 2018. december 17-én megjelent az Európai Unió Hivatalos lapjában és hatályba lépett az Európai Parlament és a Tanács (EU) 2018/1972 irányelve (2018. december 11.) az Európai Elektronikus Hírközlési Kódex létrehozásáról. A következőkben a jogszabályt Hírközlési Kódexként </w:t>
      </w:r>
      <w:r w:rsidR="00D71053">
        <w:rPr>
          <w:rFonts w:ascii="Times New Roman" w:hAnsi="Times New Roman" w:cs="Times New Roman"/>
          <w:sz w:val="24"/>
          <w:szCs w:val="24"/>
        </w:rPr>
        <w:t xml:space="preserve">vagy egyszerűen Kódexként </w:t>
      </w:r>
      <w:r w:rsidR="0082650A">
        <w:rPr>
          <w:rFonts w:ascii="Times New Roman" w:hAnsi="Times New Roman" w:cs="Times New Roman"/>
          <w:sz w:val="24"/>
          <w:szCs w:val="24"/>
        </w:rPr>
        <w:t>fogjuk</w:t>
      </w:r>
      <w:r w:rsidRPr="00692D0E">
        <w:rPr>
          <w:rFonts w:ascii="Times New Roman" w:hAnsi="Times New Roman" w:cs="Times New Roman"/>
          <w:sz w:val="24"/>
          <w:szCs w:val="24"/>
        </w:rPr>
        <w:t xml:space="preserve"> említeni, ahogy előreláthatóan így hivatkoznak majd rá a vele kapcsolatos szakmai, jogi diskurzusok és tevékenységek során. Az elkövetkezendő </w:t>
      </w:r>
      <w:r w:rsidR="00101B31" w:rsidRPr="00692D0E">
        <w:rPr>
          <w:rFonts w:ascii="Times New Roman" w:hAnsi="Times New Roman" w:cs="Times New Roman"/>
          <w:sz w:val="24"/>
          <w:szCs w:val="24"/>
        </w:rPr>
        <w:t>hónapokban számtalanszor felbukkan</w:t>
      </w:r>
      <w:r w:rsidRPr="00692D0E">
        <w:rPr>
          <w:rFonts w:ascii="Times New Roman" w:hAnsi="Times New Roman" w:cs="Times New Roman"/>
          <w:sz w:val="24"/>
          <w:szCs w:val="24"/>
        </w:rPr>
        <w:t xml:space="preserve"> majd a magyarországi ele</w:t>
      </w:r>
      <w:r w:rsidR="00101B31" w:rsidRPr="00692D0E">
        <w:rPr>
          <w:rFonts w:ascii="Times New Roman" w:hAnsi="Times New Roman" w:cs="Times New Roman"/>
          <w:sz w:val="24"/>
          <w:szCs w:val="24"/>
        </w:rPr>
        <w:t>ktronikus hírközlési szektor szereplőinek életében a jogszabály, különösen azokéban, akik részt vesznek annak hazai jogrendszerbe történő átültetésében, amelyre két év á</w:t>
      </w:r>
      <w:r w:rsidR="009D22D9">
        <w:rPr>
          <w:rFonts w:ascii="Times New Roman" w:hAnsi="Times New Roman" w:cs="Times New Roman"/>
          <w:sz w:val="24"/>
          <w:szCs w:val="24"/>
        </w:rPr>
        <w:t>ll rendelkezésre. Legkésőbb 2020 végét</w:t>
      </w:r>
      <w:r w:rsidR="00101B31" w:rsidRPr="00692D0E">
        <w:rPr>
          <w:rFonts w:ascii="Times New Roman" w:hAnsi="Times New Roman" w:cs="Times New Roman"/>
          <w:sz w:val="24"/>
          <w:szCs w:val="24"/>
        </w:rPr>
        <w:t xml:space="preserve">ől </w:t>
      </w:r>
      <w:r w:rsidR="002D7BCD" w:rsidRPr="00692D0E">
        <w:rPr>
          <w:rFonts w:ascii="Times New Roman" w:hAnsi="Times New Roman" w:cs="Times New Roman"/>
          <w:sz w:val="24"/>
          <w:szCs w:val="24"/>
        </w:rPr>
        <w:t xml:space="preserve">a Kódexen alapuló szabályok </w:t>
      </w:r>
      <w:r w:rsidR="00101B31" w:rsidRPr="00692D0E">
        <w:rPr>
          <w:rFonts w:ascii="Times New Roman" w:hAnsi="Times New Roman" w:cs="Times New Roman"/>
          <w:sz w:val="24"/>
          <w:szCs w:val="24"/>
        </w:rPr>
        <w:t xml:space="preserve">pedig </w:t>
      </w:r>
      <w:r w:rsidR="002D7BCD" w:rsidRPr="00692D0E">
        <w:rPr>
          <w:rFonts w:ascii="Times New Roman" w:hAnsi="Times New Roman" w:cs="Times New Roman"/>
          <w:sz w:val="24"/>
          <w:szCs w:val="24"/>
        </w:rPr>
        <w:t xml:space="preserve">jelentős részben </w:t>
      </w:r>
      <w:r w:rsidR="00BA4E0A" w:rsidRPr="00692D0E">
        <w:rPr>
          <w:rFonts w:ascii="Times New Roman" w:hAnsi="Times New Roman" w:cs="Times New Roman"/>
          <w:sz w:val="24"/>
          <w:szCs w:val="24"/>
        </w:rPr>
        <w:t xml:space="preserve">alakítják majd az elektronikus hírközlési szolgáltatatást nyújtó vállalkozások, a felhasználók és a hírközlés iparágat felügyelő </w:t>
      </w:r>
      <w:r w:rsidR="002D7BCD" w:rsidRPr="00692D0E">
        <w:rPr>
          <w:rFonts w:ascii="Times New Roman" w:hAnsi="Times New Roman" w:cs="Times New Roman"/>
          <w:sz w:val="24"/>
          <w:szCs w:val="24"/>
        </w:rPr>
        <w:t>szabályozó viszonyrendszerét, jogait és kötelezettségeit az elektronikus hírközlési szolgáltatásokkal összefüggésben</w:t>
      </w:r>
      <w:r w:rsidR="00BA4E0A" w:rsidRPr="00692D0E">
        <w:rPr>
          <w:rFonts w:ascii="Times New Roman" w:hAnsi="Times New Roman" w:cs="Times New Roman"/>
          <w:sz w:val="24"/>
          <w:szCs w:val="24"/>
        </w:rPr>
        <w:t>.</w:t>
      </w:r>
    </w:p>
    <w:p w14:paraId="67B3C4A6" w14:textId="5AE4DCB4" w:rsidR="00E21E80" w:rsidRPr="00692D0E" w:rsidRDefault="00BA4E0A" w:rsidP="0060250C">
      <w:pPr>
        <w:jc w:val="both"/>
        <w:rPr>
          <w:rFonts w:ascii="Times New Roman" w:hAnsi="Times New Roman" w:cs="Times New Roman"/>
          <w:sz w:val="24"/>
          <w:szCs w:val="24"/>
        </w:rPr>
      </w:pPr>
      <w:r w:rsidRPr="00692D0E">
        <w:rPr>
          <w:rFonts w:ascii="Times New Roman" w:hAnsi="Times New Roman" w:cs="Times New Roman"/>
          <w:sz w:val="24"/>
          <w:szCs w:val="24"/>
        </w:rPr>
        <w:t xml:space="preserve">A </w:t>
      </w:r>
      <w:r w:rsidR="007F2709" w:rsidRPr="00692D0E">
        <w:rPr>
          <w:rFonts w:ascii="Times New Roman" w:hAnsi="Times New Roman" w:cs="Times New Roman"/>
          <w:sz w:val="24"/>
          <w:szCs w:val="24"/>
        </w:rPr>
        <w:t xml:space="preserve">Hírközlési </w:t>
      </w:r>
      <w:r w:rsidRPr="00692D0E">
        <w:rPr>
          <w:rFonts w:ascii="Times New Roman" w:hAnsi="Times New Roman" w:cs="Times New Roman"/>
          <w:sz w:val="24"/>
          <w:szCs w:val="24"/>
        </w:rPr>
        <w:t xml:space="preserve">Kódex </w:t>
      </w:r>
      <w:r w:rsidR="002D7BCD" w:rsidRPr="00692D0E">
        <w:rPr>
          <w:rFonts w:ascii="Times New Roman" w:hAnsi="Times New Roman" w:cs="Times New Roman"/>
          <w:sz w:val="24"/>
          <w:szCs w:val="24"/>
        </w:rPr>
        <w:t xml:space="preserve">illetve az ennek majdani magyarországi megfelelője nem eredményez majd a jelenlegihez képest teljesen új szabályozást.  </w:t>
      </w:r>
      <w:r w:rsidR="0082650A">
        <w:rPr>
          <w:rFonts w:ascii="Times New Roman" w:hAnsi="Times New Roman" w:cs="Times New Roman"/>
          <w:sz w:val="24"/>
          <w:szCs w:val="24"/>
        </w:rPr>
        <w:t>Az Európai Unió jogszabály-</w:t>
      </w:r>
      <w:r w:rsidR="007F2709" w:rsidRPr="00692D0E">
        <w:rPr>
          <w:rFonts w:ascii="Times New Roman" w:hAnsi="Times New Roman" w:cs="Times New Roman"/>
          <w:sz w:val="24"/>
          <w:szCs w:val="24"/>
        </w:rPr>
        <w:t xml:space="preserve">előkészítő </w:t>
      </w:r>
      <w:r w:rsidR="0000150D" w:rsidRPr="00692D0E">
        <w:rPr>
          <w:rFonts w:ascii="Times New Roman" w:hAnsi="Times New Roman" w:cs="Times New Roman"/>
          <w:sz w:val="24"/>
          <w:szCs w:val="24"/>
        </w:rPr>
        <w:lastRenderedPageBreak/>
        <w:t>intézményének, az Európai Bizottságnak az ambíciója és mandátuma a 2015-2019-es hivatali időszakban e vonatkozásban arra terjedt ki</w:t>
      </w:r>
      <w:r w:rsidR="00E21E80" w:rsidRPr="00692D0E">
        <w:rPr>
          <w:rFonts w:ascii="Times New Roman" w:hAnsi="Times New Roman" w:cs="Times New Roman"/>
          <w:sz w:val="24"/>
          <w:szCs w:val="24"/>
        </w:rPr>
        <w:t>, hogy értékelje, vajon az elektronikus hírközlés</w:t>
      </w:r>
      <w:r w:rsidR="00357BC2" w:rsidRPr="00692D0E">
        <w:rPr>
          <w:rFonts w:ascii="Times New Roman" w:hAnsi="Times New Roman" w:cs="Times New Roman"/>
          <w:sz w:val="24"/>
          <w:szCs w:val="24"/>
        </w:rPr>
        <w:t>re vonatkozó</w:t>
      </w:r>
      <w:r w:rsidR="0082650A">
        <w:rPr>
          <w:rFonts w:ascii="Times New Roman" w:hAnsi="Times New Roman" w:cs="Times New Roman"/>
          <w:sz w:val="24"/>
          <w:szCs w:val="24"/>
        </w:rPr>
        <w:t>,</w:t>
      </w:r>
      <w:r w:rsidR="00361408">
        <w:rPr>
          <w:rFonts w:ascii="Times New Roman" w:hAnsi="Times New Roman" w:cs="Times New Roman"/>
          <w:sz w:val="24"/>
          <w:szCs w:val="24"/>
        </w:rPr>
        <w:t xml:space="preserve"> </w:t>
      </w:r>
      <w:r w:rsidR="00357BC2" w:rsidRPr="00692D0E">
        <w:rPr>
          <w:rFonts w:ascii="Times New Roman" w:hAnsi="Times New Roman" w:cs="Times New Roman"/>
          <w:sz w:val="24"/>
          <w:szCs w:val="24"/>
        </w:rPr>
        <w:t xml:space="preserve"> eredetileg 2002-ben elfogadott</w:t>
      </w:r>
      <w:r w:rsidR="00E21E80" w:rsidRPr="00692D0E">
        <w:rPr>
          <w:rFonts w:ascii="Times New Roman" w:hAnsi="Times New Roman" w:cs="Times New Roman"/>
          <w:sz w:val="24"/>
          <w:szCs w:val="24"/>
        </w:rPr>
        <w:t>, majd legutóbb 2009-ben felülvizsgált európai keretszabályozás továbbra is megfelelően szolgálja-e f</w:t>
      </w:r>
      <w:r w:rsidR="00357BC2" w:rsidRPr="00692D0E">
        <w:rPr>
          <w:rFonts w:ascii="Times New Roman" w:hAnsi="Times New Roman" w:cs="Times New Roman"/>
          <w:sz w:val="24"/>
          <w:szCs w:val="24"/>
        </w:rPr>
        <w:t>ő célkitűzés</w:t>
      </w:r>
      <w:r w:rsidR="00E328EE">
        <w:rPr>
          <w:rFonts w:ascii="Times New Roman" w:hAnsi="Times New Roman" w:cs="Times New Roman"/>
          <w:sz w:val="24"/>
          <w:szCs w:val="24"/>
        </w:rPr>
        <w:t>e</w:t>
      </w:r>
      <w:r w:rsidR="00357BC2" w:rsidRPr="00692D0E">
        <w:rPr>
          <w:rFonts w:ascii="Times New Roman" w:hAnsi="Times New Roman" w:cs="Times New Roman"/>
          <w:sz w:val="24"/>
          <w:szCs w:val="24"/>
        </w:rPr>
        <w:t>inek megvalósulását, netán azonosíthatók-e abban kiküszöbölendő hiányosságok, ellentmondások vagy egyszerűsítési lehetőségek.</w:t>
      </w:r>
    </w:p>
    <w:p w14:paraId="755DA385" w14:textId="6E462A42" w:rsidR="0008648A" w:rsidRPr="00050E4E" w:rsidRDefault="007D4FF1" w:rsidP="002C2349">
      <w:pPr>
        <w:jc w:val="both"/>
        <w:rPr>
          <w:rFonts w:ascii="Times New Roman" w:hAnsi="Times New Roman" w:cs="Times New Roman"/>
          <w:sz w:val="24"/>
          <w:szCs w:val="24"/>
        </w:rPr>
      </w:pPr>
      <w:r w:rsidRPr="00692D0E">
        <w:rPr>
          <w:rFonts w:ascii="Times New Roman" w:hAnsi="Times New Roman" w:cs="Times New Roman"/>
          <w:sz w:val="24"/>
          <w:szCs w:val="24"/>
        </w:rPr>
        <w:t>Vegyük számba</w:t>
      </w:r>
      <w:r w:rsidR="007126A8">
        <w:rPr>
          <w:rFonts w:ascii="Times New Roman" w:hAnsi="Times New Roman" w:cs="Times New Roman"/>
          <w:sz w:val="24"/>
          <w:szCs w:val="24"/>
        </w:rPr>
        <w:t>,</w:t>
      </w:r>
      <w:r w:rsidRPr="00692D0E">
        <w:rPr>
          <w:rFonts w:ascii="Times New Roman" w:hAnsi="Times New Roman" w:cs="Times New Roman"/>
          <w:sz w:val="24"/>
          <w:szCs w:val="24"/>
        </w:rPr>
        <w:t xml:space="preserve"> pontosan mire is terjedt ki és mire nem ez a felülvizsgálat</w:t>
      </w:r>
      <w:r w:rsidR="00987571" w:rsidRPr="00692D0E">
        <w:rPr>
          <w:rFonts w:ascii="Times New Roman" w:hAnsi="Times New Roman" w:cs="Times New Roman"/>
          <w:sz w:val="24"/>
          <w:szCs w:val="24"/>
        </w:rPr>
        <w:t>. Magától értetődő módon érintve voltak</w:t>
      </w:r>
      <w:r w:rsidR="000E7FCA" w:rsidRPr="00692D0E">
        <w:rPr>
          <w:rFonts w:ascii="Times New Roman" w:hAnsi="Times New Roman" w:cs="Times New Roman"/>
          <w:sz w:val="24"/>
          <w:szCs w:val="24"/>
        </w:rPr>
        <w:t xml:space="preserve"> </w:t>
      </w:r>
      <w:r w:rsidR="00987571" w:rsidRPr="00692D0E">
        <w:rPr>
          <w:rFonts w:ascii="Times New Roman" w:hAnsi="Times New Roman" w:cs="Times New Roman"/>
          <w:sz w:val="24"/>
          <w:szCs w:val="24"/>
        </w:rPr>
        <w:t>az eddig érvényben lévő keretszabályozás geri</w:t>
      </w:r>
      <w:r w:rsidR="000E7FCA" w:rsidRPr="00692D0E">
        <w:rPr>
          <w:rFonts w:ascii="Times New Roman" w:hAnsi="Times New Roman" w:cs="Times New Roman"/>
          <w:sz w:val="24"/>
          <w:szCs w:val="24"/>
        </w:rPr>
        <w:t>n</w:t>
      </w:r>
      <w:r w:rsidR="00987571" w:rsidRPr="00692D0E">
        <w:rPr>
          <w:rFonts w:ascii="Times New Roman" w:hAnsi="Times New Roman" w:cs="Times New Roman"/>
          <w:sz w:val="24"/>
          <w:szCs w:val="24"/>
        </w:rPr>
        <w:t xml:space="preserve">cét alkotó legfontosabb </w:t>
      </w:r>
      <w:r w:rsidR="000E7FCA" w:rsidRPr="00692D0E">
        <w:rPr>
          <w:rFonts w:ascii="Times New Roman" w:hAnsi="Times New Roman" w:cs="Times New Roman"/>
          <w:sz w:val="24"/>
          <w:szCs w:val="24"/>
        </w:rPr>
        <w:t>jogforrások, nevezetesen a</w:t>
      </w:r>
      <w:r w:rsidR="00D71053">
        <w:rPr>
          <w:rFonts w:ascii="Times New Roman" w:hAnsi="Times New Roman" w:cs="Times New Roman"/>
          <w:sz w:val="24"/>
          <w:szCs w:val="24"/>
        </w:rPr>
        <w:t>z ún.</w:t>
      </w:r>
      <w:r w:rsidR="000E7FCA" w:rsidRPr="00692D0E">
        <w:rPr>
          <w:rFonts w:ascii="Times New Roman" w:hAnsi="Times New Roman" w:cs="Times New Roman"/>
          <w:sz w:val="24"/>
          <w:szCs w:val="24"/>
        </w:rPr>
        <w:t xml:space="preserve"> Keretirányelv</w:t>
      </w:r>
      <w:r w:rsidR="00692D0E" w:rsidRPr="00692D0E">
        <w:rPr>
          <w:rStyle w:val="FootnoteReference"/>
          <w:rFonts w:ascii="Times New Roman" w:hAnsi="Times New Roman" w:cs="Times New Roman"/>
          <w:sz w:val="24"/>
          <w:szCs w:val="24"/>
        </w:rPr>
        <w:footnoteReference w:id="1"/>
      </w:r>
      <w:r w:rsidR="00D71053">
        <w:rPr>
          <w:rFonts w:ascii="Times New Roman" w:hAnsi="Times New Roman" w:cs="Times New Roman"/>
          <w:sz w:val="24"/>
          <w:szCs w:val="24"/>
        </w:rPr>
        <w:t>, az Engedélyezési i</w:t>
      </w:r>
      <w:r w:rsidR="000E7FCA" w:rsidRPr="00692D0E">
        <w:rPr>
          <w:rFonts w:ascii="Times New Roman" w:hAnsi="Times New Roman" w:cs="Times New Roman"/>
          <w:sz w:val="24"/>
          <w:szCs w:val="24"/>
        </w:rPr>
        <w:t>rányelv</w:t>
      </w:r>
      <w:r w:rsidR="00692D0E" w:rsidRPr="00692D0E">
        <w:rPr>
          <w:rStyle w:val="FootnoteReference"/>
          <w:rFonts w:ascii="Times New Roman" w:hAnsi="Times New Roman" w:cs="Times New Roman"/>
          <w:sz w:val="24"/>
          <w:szCs w:val="24"/>
        </w:rPr>
        <w:footnoteReference w:id="2"/>
      </w:r>
      <w:r w:rsidR="00D71053">
        <w:rPr>
          <w:rFonts w:ascii="Times New Roman" w:hAnsi="Times New Roman" w:cs="Times New Roman"/>
          <w:sz w:val="24"/>
          <w:szCs w:val="24"/>
        </w:rPr>
        <w:t>, a Hozzáférési i</w:t>
      </w:r>
      <w:r w:rsidR="000E7FCA" w:rsidRPr="00692D0E">
        <w:rPr>
          <w:rFonts w:ascii="Times New Roman" w:hAnsi="Times New Roman" w:cs="Times New Roman"/>
          <w:sz w:val="24"/>
          <w:szCs w:val="24"/>
        </w:rPr>
        <w:t>rányelv</w:t>
      </w:r>
      <w:r w:rsidR="00692D0E" w:rsidRPr="00692D0E">
        <w:rPr>
          <w:rStyle w:val="FootnoteReference"/>
          <w:rFonts w:ascii="Times New Roman" w:hAnsi="Times New Roman" w:cs="Times New Roman"/>
          <w:sz w:val="24"/>
          <w:szCs w:val="24"/>
        </w:rPr>
        <w:footnoteReference w:id="3"/>
      </w:r>
      <w:r w:rsidR="00D71053">
        <w:rPr>
          <w:rFonts w:ascii="Times New Roman" w:hAnsi="Times New Roman" w:cs="Times New Roman"/>
          <w:sz w:val="24"/>
          <w:szCs w:val="24"/>
        </w:rPr>
        <w:t>, Egyetemes szolgáltatási i</w:t>
      </w:r>
      <w:r w:rsidR="000E7FCA" w:rsidRPr="00692D0E">
        <w:rPr>
          <w:rFonts w:ascii="Times New Roman" w:hAnsi="Times New Roman" w:cs="Times New Roman"/>
          <w:sz w:val="24"/>
          <w:szCs w:val="24"/>
        </w:rPr>
        <w:t>rányelv</w:t>
      </w:r>
      <w:r w:rsidR="00692D0E" w:rsidRPr="00692D0E">
        <w:rPr>
          <w:rStyle w:val="FootnoteReference"/>
          <w:rFonts w:ascii="Times New Roman" w:hAnsi="Times New Roman" w:cs="Times New Roman"/>
          <w:sz w:val="24"/>
          <w:szCs w:val="24"/>
        </w:rPr>
        <w:footnoteReference w:id="4"/>
      </w:r>
      <w:r w:rsidR="00D71053">
        <w:rPr>
          <w:rFonts w:ascii="Times New Roman" w:hAnsi="Times New Roman" w:cs="Times New Roman"/>
          <w:sz w:val="24"/>
          <w:szCs w:val="24"/>
        </w:rPr>
        <w:t xml:space="preserve"> valamint a BEREC r</w:t>
      </w:r>
      <w:r w:rsidR="000E7FCA" w:rsidRPr="00692D0E">
        <w:rPr>
          <w:rFonts w:ascii="Times New Roman" w:hAnsi="Times New Roman" w:cs="Times New Roman"/>
          <w:sz w:val="24"/>
          <w:szCs w:val="24"/>
        </w:rPr>
        <w:t>endelet</w:t>
      </w:r>
      <w:r w:rsidR="000E7FCA" w:rsidRPr="00692D0E">
        <w:rPr>
          <w:rStyle w:val="FootnoteReference"/>
          <w:rFonts w:ascii="Times New Roman" w:hAnsi="Times New Roman" w:cs="Times New Roman"/>
          <w:sz w:val="24"/>
          <w:szCs w:val="24"/>
        </w:rPr>
        <w:footnoteReference w:id="5"/>
      </w:r>
      <w:r w:rsidR="0008648A" w:rsidRPr="00692D0E">
        <w:rPr>
          <w:rFonts w:ascii="Times New Roman" w:hAnsi="Times New Roman" w:cs="Times New Roman"/>
          <w:sz w:val="24"/>
          <w:szCs w:val="24"/>
        </w:rPr>
        <w:t xml:space="preserve"> </w:t>
      </w:r>
      <w:r w:rsidR="002F4634" w:rsidRPr="00692D0E">
        <w:rPr>
          <w:rFonts w:ascii="Times New Roman" w:hAnsi="Times New Roman" w:cs="Times New Roman"/>
          <w:sz w:val="24"/>
          <w:szCs w:val="24"/>
        </w:rPr>
        <w:t xml:space="preserve"> </w:t>
      </w:r>
      <w:r w:rsidR="0008648A" w:rsidRPr="00692D0E">
        <w:rPr>
          <w:rFonts w:ascii="Times New Roman" w:hAnsi="Times New Roman" w:cs="Times New Roman"/>
          <w:sz w:val="24"/>
          <w:szCs w:val="24"/>
        </w:rPr>
        <w:t>továbbá</w:t>
      </w:r>
      <w:r w:rsidR="000E7FCA" w:rsidRPr="00692D0E">
        <w:rPr>
          <w:rFonts w:ascii="Times New Roman" w:hAnsi="Times New Roman" w:cs="Times New Roman"/>
          <w:sz w:val="24"/>
          <w:szCs w:val="24"/>
        </w:rPr>
        <w:t xml:space="preserve"> </w:t>
      </w:r>
      <w:r w:rsidR="002F4634" w:rsidRPr="00692D0E">
        <w:rPr>
          <w:rFonts w:ascii="Times New Roman" w:hAnsi="Times New Roman" w:cs="Times New Roman"/>
          <w:sz w:val="24"/>
          <w:szCs w:val="24"/>
        </w:rPr>
        <w:t>a Rádióspektrum-határozat</w:t>
      </w:r>
      <w:r w:rsidR="002F4634" w:rsidRPr="00692D0E">
        <w:rPr>
          <w:rStyle w:val="FootnoteReference"/>
          <w:rFonts w:ascii="Times New Roman" w:hAnsi="Times New Roman" w:cs="Times New Roman"/>
          <w:sz w:val="24"/>
          <w:szCs w:val="24"/>
        </w:rPr>
        <w:footnoteReference w:id="6"/>
      </w:r>
      <w:r w:rsidR="002F4634" w:rsidRPr="00692D0E">
        <w:rPr>
          <w:rFonts w:ascii="Times New Roman" w:hAnsi="Times New Roman" w:cs="Times New Roman"/>
          <w:sz w:val="24"/>
          <w:szCs w:val="24"/>
        </w:rPr>
        <w:t xml:space="preserve">, </w:t>
      </w:r>
      <w:r w:rsidR="00B43312" w:rsidRPr="00692D0E">
        <w:rPr>
          <w:rFonts w:ascii="Times New Roman" w:hAnsi="Times New Roman" w:cs="Times New Roman"/>
          <w:sz w:val="24"/>
          <w:szCs w:val="24"/>
        </w:rPr>
        <w:t>a Határozat</w:t>
      </w:r>
      <w:r w:rsidR="002F4634" w:rsidRPr="00692D0E">
        <w:rPr>
          <w:rFonts w:ascii="Times New Roman" w:hAnsi="Times New Roman" w:cs="Times New Roman"/>
          <w:sz w:val="24"/>
          <w:szCs w:val="24"/>
        </w:rPr>
        <w:t xml:space="preserve"> RSPG </w:t>
      </w:r>
      <w:r w:rsidR="00B43312" w:rsidRPr="00692D0E">
        <w:rPr>
          <w:rFonts w:ascii="Times New Roman" w:hAnsi="Times New Roman" w:cs="Times New Roman"/>
          <w:sz w:val="24"/>
          <w:szCs w:val="24"/>
        </w:rPr>
        <w:t>létrehozásáról</w:t>
      </w:r>
      <w:r w:rsidR="002F4634" w:rsidRPr="00692D0E">
        <w:rPr>
          <w:rStyle w:val="FootnoteReference"/>
          <w:rFonts w:ascii="Times New Roman" w:hAnsi="Times New Roman" w:cs="Times New Roman"/>
          <w:sz w:val="24"/>
          <w:szCs w:val="24"/>
        </w:rPr>
        <w:footnoteReference w:id="7"/>
      </w:r>
      <w:r w:rsidR="00B43312" w:rsidRPr="00692D0E">
        <w:rPr>
          <w:rFonts w:ascii="Times New Roman" w:hAnsi="Times New Roman" w:cs="Times New Roman"/>
          <w:sz w:val="24"/>
          <w:szCs w:val="24"/>
        </w:rPr>
        <w:t xml:space="preserve"> végül </w:t>
      </w:r>
      <w:r w:rsidR="0008648A" w:rsidRPr="00692D0E">
        <w:rPr>
          <w:rFonts w:ascii="Times New Roman" w:hAnsi="Times New Roman" w:cs="Times New Roman"/>
          <w:sz w:val="24"/>
          <w:szCs w:val="24"/>
        </w:rPr>
        <w:t>az RSPP</w:t>
      </w:r>
      <w:r w:rsidR="0008648A" w:rsidRPr="00692D0E">
        <w:rPr>
          <w:rStyle w:val="FootnoteReference"/>
          <w:rFonts w:ascii="Times New Roman" w:hAnsi="Times New Roman" w:cs="Times New Roman"/>
          <w:sz w:val="24"/>
          <w:szCs w:val="24"/>
        </w:rPr>
        <w:footnoteReference w:id="8"/>
      </w:r>
      <w:r w:rsidR="00B43312" w:rsidRPr="00692D0E">
        <w:rPr>
          <w:rFonts w:ascii="Times New Roman" w:hAnsi="Times New Roman" w:cs="Times New Roman"/>
          <w:sz w:val="24"/>
          <w:szCs w:val="24"/>
        </w:rPr>
        <w:t>.</w:t>
      </w:r>
    </w:p>
    <w:p w14:paraId="245710D7" w14:textId="090D13F1" w:rsidR="005F72AF" w:rsidRDefault="00692D0E" w:rsidP="005F72AF">
      <w:pPr>
        <w:jc w:val="both"/>
        <w:rPr>
          <w:rFonts w:ascii="Times New Roman" w:hAnsi="Times New Roman" w:cs="Times New Roman"/>
          <w:sz w:val="24"/>
          <w:szCs w:val="24"/>
        </w:rPr>
      </w:pPr>
      <w:r w:rsidRPr="00050E4E">
        <w:rPr>
          <w:rFonts w:ascii="Times New Roman" w:hAnsi="Times New Roman" w:cs="Times New Roman"/>
          <w:sz w:val="24"/>
          <w:szCs w:val="24"/>
        </w:rPr>
        <w:t xml:space="preserve">A kimaradtak köréből feltétlenül említést érdemel </w:t>
      </w:r>
      <w:r w:rsidR="005F72AF" w:rsidRPr="00050E4E">
        <w:rPr>
          <w:rFonts w:ascii="Times New Roman" w:hAnsi="Times New Roman" w:cs="Times New Roman"/>
          <w:sz w:val="24"/>
          <w:szCs w:val="24"/>
        </w:rPr>
        <w:t>az Elekt</w:t>
      </w:r>
      <w:r w:rsidR="00D71053">
        <w:rPr>
          <w:rFonts w:ascii="Times New Roman" w:hAnsi="Times New Roman" w:cs="Times New Roman"/>
          <w:sz w:val="24"/>
          <w:szCs w:val="24"/>
        </w:rPr>
        <w:t>ronikus hírközlési adatvédelmi i</w:t>
      </w:r>
      <w:r w:rsidR="005F72AF" w:rsidRPr="00050E4E">
        <w:rPr>
          <w:rFonts w:ascii="Times New Roman" w:hAnsi="Times New Roman" w:cs="Times New Roman"/>
          <w:sz w:val="24"/>
          <w:szCs w:val="24"/>
        </w:rPr>
        <w:t>rányelv</w:t>
      </w:r>
      <w:r w:rsidR="005F72AF" w:rsidRPr="00050E4E">
        <w:rPr>
          <w:rStyle w:val="FootnoteReference"/>
          <w:rFonts w:ascii="Times New Roman" w:hAnsi="Times New Roman" w:cs="Times New Roman"/>
          <w:sz w:val="24"/>
          <w:szCs w:val="24"/>
        </w:rPr>
        <w:footnoteReference w:id="9"/>
      </w:r>
      <w:r w:rsidR="005F72AF" w:rsidRPr="00050E4E">
        <w:rPr>
          <w:rFonts w:ascii="Times New Roman" w:hAnsi="Times New Roman" w:cs="Times New Roman"/>
          <w:sz w:val="24"/>
          <w:szCs w:val="24"/>
        </w:rPr>
        <w:t>: ennek felülvizsgálatával a jogalkotók meg akarták várni</w:t>
      </w:r>
      <w:r w:rsidR="00107C07">
        <w:rPr>
          <w:rFonts w:ascii="Times New Roman" w:hAnsi="Times New Roman" w:cs="Times New Roman"/>
          <w:sz w:val="24"/>
          <w:szCs w:val="24"/>
        </w:rPr>
        <w:t>,</w:t>
      </w:r>
      <w:r w:rsidR="005F72AF" w:rsidRPr="00050E4E">
        <w:rPr>
          <w:rFonts w:ascii="Times New Roman" w:hAnsi="Times New Roman" w:cs="Times New Roman"/>
          <w:sz w:val="24"/>
          <w:szCs w:val="24"/>
        </w:rPr>
        <w:t xml:space="preserve"> </w:t>
      </w:r>
      <w:r w:rsidR="00520DE8">
        <w:rPr>
          <w:rFonts w:ascii="Times New Roman" w:hAnsi="Times New Roman" w:cs="Times New Roman"/>
          <w:sz w:val="24"/>
          <w:szCs w:val="24"/>
        </w:rPr>
        <w:t xml:space="preserve">amíg </w:t>
      </w:r>
      <w:r w:rsidR="005F72AF" w:rsidRPr="00050E4E">
        <w:rPr>
          <w:rFonts w:ascii="Times New Roman" w:hAnsi="Times New Roman" w:cs="Times New Roman"/>
          <w:sz w:val="24"/>
          <w:szCs w:val="24"/>
        </w:rPr>
        <w:t>az általános adatvédelmi rendelet (immár közismert nevén a GDPR</w:t>
      </w:r>
      <w:r w:rsidR="005F72AF" w:rsidRPr="00050E4E">
        <w:rPr>
          <w:rStyle w:val="FootnoteReference"/>
          <w:rFonts w:ascii="Times New Roman" w:hAnsi="Times New Roman" w:cs="Times New Roman"/>
          <w:sz w:val="24"/>
          <w:szCs w:val="24"/>
        </w:rPr>
        <w:footnoteReference w:id="10"/>
      </w:r>
      <w:r w:rsidR="005F72AF" w:rsidRPr="00050E4E">
        <w:rPr>
          <w:rFonts w:ascii="Times New Roman" w:hAnsi="Times New Roman" w:cs="Times New Roman"/>
          <w:sz w:val="24"/>
          <w:szCs w:val="24"/>
        </w:rPr>
        <w:t>)</w:t>
      </w:r>
      <w:r w:rsidR="00520DE8">
        <w:rPr>
          <w:rFonts w:ascii="Times New Roman" w:hAnsi="Times New Roman" w:cs="Times New Roman"/>
          <w:sz w:val="24"/>
          <w:szCs w:val="24"/>
        </w:rPr>
        <w:t xml:space="preserve"> megalkotása lezárul</w:t>
      </w:r>
      <w:r w:rsidR="00107C07">
        <w:rPr>
          <w:rFonts w:ascii="Times New Roman" w:hAnsi="Times New Roman" w:cs="Times New Roman"/>
          <w:sz w:val="24"/>
          <w:szCs w:val="24"/>
        </w:rPr>
        <w:t>. A</w:t>
      </w:r>
      <w:r w:rsidR="007E2E2E" w:rsidRPr="00050E4E">
        <w:rPr>
          <w:rFonts w:ascii="Times New Roman" w:hAnsi="Times New Roman" w:cs="Times New Roman"/>
          <w:sz w:val="24"/>
          <w:szCs w:val="24"/>
        </w:rPr>
        <w:t xml:space="preserve"> hírközlési adatvédelmi irányelv kétségtelenül szint</w:t>
      </w:r>
      <w:r w:rsidR="00107C07">
        <w:rPr>
          <w:rFonts w:ascii="Times New Roman" w:hAnsi="Times New Roman" w:cs="Times New Roman"/>
          <w:sz w:val="24"/>
          <w:szCs w:val="24"/>
        </w:rPr>
        <w:t xml:space="preserve">én indokolt felülvizsgálatának </w:t>
      </w:r>
      <w:r w:rsidR="007E2E2E" w:rsidRPr="00050E4E">
        <w:rPr>
          <w:rFonts w:ascii="Times New Roman" w:hAnsi="Times New Roman" w:cs="Times New Roman"/>
          <w:sz w:val="24"/>
          <w:szCs w:val="24"/>
        </w:rPr>
        <w:t>folyamata nagyrészt a számos fontos vitás kérdés felmerülésének köszönhetően időközben jelentős késedelmet</w:t>
      </w:r>
      <w:r w:rsidR="00CF02E4" w:rsidRPr="00050E4E">
        <w:rPr>
          <w:rFonts w:ascii="Times New Roman" w:hAnsi="Times New Roman" w:cs="Times New Roman"/>
          <w:sz w:val="24"/>
          <w:szCs w:val="24"/>
        </w:rPr>
        <w:t xml:space="preserve"> mutat. Í</w:t>
      </w:r>
      <w:r w:rsidR="009D22D9" w:rsidRPr="00050E4E">
        <w:rPr>
          <w:rFonts w:ascii="Times New Roman" w:hAnsi="Times New Roman" w:cs="Times New Roman"/>
          <w:sz w:val="24"/>
          <w:szCs w:val="24"/>
        </w:rPr>
        <w:t xml:space="preserve">gy kérdésessé válhat </w:t>
      </w:r>
      <w:r w:rsidR="00CF02E4" w:rsidRPr="00050E4E">
        <w:rPr>
          <w:rFonts w:ascii="Times New Roman" w:hAnsi="Times New Roman" w:cs="Times New Roman"/>
          <w:sz w:val="24"/>
          <w:szCs w:val="24"/>
        </w:rPr>
        <w:t xml:space="preserve">akár </w:t>
      </w:r>
      <w:r w:rsidR="009D22D9" w:rsidRPr="00050E4E">
        <w:rPr>
          <w:rFonts w:ascii="Times New Roman" w:hAnsi="Times New Roman" w:cs="Times New Roman"/>
          <w:sz w:val="24"/>
          <w:szCs w:val="24"/>
        </w:rPr>
        <w:t>az is</w:t>
      </w:r>
      <w:r w:rsidR="007E2E2E" w:rsidRPr="00050E4E">
        <w:rPr>
          <w:rFonts w:ascii="Times New Roman" w:hAnsi="Times New Roman" w:cs="Times New Roman"/>
          <w:sz w:val="24"/>
          <w:szCs w:val="24"/>
        </w:rPr>
        <w:t xml:space="preserve">, hogy legalább a Hírközlési Kódex </w:t>
      </w:r>
      <w:r w:rsidR="009D22D9" w:rsidRPr="00050E4E">
        <w:rPr>
          <w:rFonts w:ascii="Times New Roman" w:hAnsi="Times New Roman" w:cs="Times New Roman"/>
          <w:sz w:val="24"/>
          <w:szCs w:val="24"/>
        </w:rPr>
        <w:t>nemzeti jogba történő átültetésének 2020.</w:t>
      </w:r>
      <w:r w:rsidR="007126A8">
        <w:rPr>
          <w:rFonts w:ascii="Times New Roman" w:hAnsi="Times New Roman" w:cs="Times New Roman"/>
          <w:sz w:val="24"/>
          <w:szCs w:val="24"/>
        </w:rPr>
        <w:t xml:space="preserve"> </w:t>
      </w:r>
      <w:r w:rsidR="009D22D9" w:rsidRPr="00050E4E">
        <w:rPr>
          <w:rFonts w:ascii="Times New Roman" w:hAnsi="Times New Roman" w:cs="Times New Roman"/>
          <w:sz w:val="24"/>
          <w:szCs w:val="24"/>
        </w:rPr>
        <w:t xml:space="preserve">december 21-ei határidejére </w:t>
      </w:r>
      <w:r w:rsidR="00CF02E4" w:rsidRPr="00050E4E">
        <w:rPr>
          <w:rFonts w:ascii="Times New Roman" w:hAnsi="Times New Roman" w:cs="Times New Roman"/>
          <w:sz w:val="24"/>
          <w:szCs w:val="24"/>
        </w:rPr>
        <w:t>lesz-e kifejezetten az elektronikus hírközlési szolgáltatások nyújtásával összefüggő személyes adatkezelésre vonatkozó új szabályozás</w:t>
      </w:r>
      <w:r w:rsidR="007126A8">
        <w:rPr>
          <w:rFonts w:ascii="Times New Roman" w:hAnsi="Times New Roman" w:cs="Times New Roman"/>
          <w:sz w:val="24"/>
          <w:szCs w:val="24"/>
        </w:rPr>
        <w:t>,</w:t>
      </w:r>
      <w:r w:rsidR="00CF02E4" w:rsidRPr="00050E4E">
        <w:rPr>
          <w:rFonts w:ascii="Times New Roman" w:hAnsi="Times New Roman" w:cs="Times New Roman"/>
          <w:sz w:val="24"/>
          <w:szCs w:val="24"/>
        </w:rPr>
        <w:t xml:space="preserve"> vagy</w:t>
      </w:r>
      <w:r w:rsidR="00F00487" w:rsidRPr="00050E4E">
        <w:rPr>
          <w:rFonts w:ascii="Times New Roman" w:hAnsi="Times New Roman" w:cs="Times New Roman"/>
          <w:sz w:val="24"/>
          <w:szCs w:val="24"/>
        </w:rPr>
        <w:t xml:space="preserve"> marad a jelenleg is hatályos</w:t>
      </w:r>
      <w:r w:rsidR="00CF02E4" w:rsidRPr="00050E4E">
        <w:rPr>
          <w:rFonts w:ascii="Times New Roman" w:hAnsi="Times New Roman" w:cs="Times New Roman"/>
          <w:sz w:val="24"/>
          <w:szCs w:val="24"/>
        </w:rPr>
        <w:t xml:space="preserve"> „régi” normarendszer. Mivel - ahogy </w:t>
      </w:r>
      <w:r w:rsidR="007126A8">
        <w:rPr>
          <w:rFonts w:ascii="Times New Roman" w:hAnsi="Times New Roman" w:cs="Times New Roman"/>
          <w:sz w:val="24"/>
          <w:szCs w:val="24"/>
        </w:rPr>
        <w:t>azt később részletesen bemutatjuk</w:t>
      </w:r>
      <w:r w:rsidR="00CF02E4" w:rsidRPr="00050E4E">
        <w:rPr>
          <w:rFonts w:ascii="Times New Roman" w:hAnsi="Times New Roman" w:cs="Times New Roman"/>
          <w:sz w:val="24"/>
          <w:szCs w:val="24"/>
        </w:rPr>
        <w:t xml:space="preserve"> -</w:t>
      </w:r>
      <w:r w:rsidR="00D8582C">
        <w:rPr>
          <w:rFonts w:ascii="Times New Roman" w:hAnsi="Times New Roman" w:cs="Times New Roman"/>
          <w:sz w:val="24"/>
          <w:szCs w:val="24"/>
        </w:rPr>
        <w:t>,</w:t>
      </w:r>
      <w:r w:rsidR="00CF02E4" w:rsidRPr="00050E4E">
        <w:rPr>
          <w:rFonts w:ascii="Times New Roman" w:hAnsi="Times New Roman" w:cs="Times New Roman"/>
          <w:sz w:val="24"/>
          <w:szCs w:val="24"/>
        </w:rPr>
        <w:t xml:space="preserve"> az elektronikus hírközlési szolgáltatások körét a Kódex kibővíti</w:t>
      </w:r>
      <w:r w:rsidR="00F00487" w:rsidRPr="00050E4E">
        <w:rPr>
          <w:rFonts w:ascii="Times New Roman" w:hAnsi="Times New Roman" w:cs="Times New Roman"/>
          <w:sz w:val="24"/>
          <w:szCs w:val="24"/>
        </w:rPr>
        <w:t xml:space="preserve"> az ún. </w:t>
      </w:r>
      <w:r w:rsidR="00BB5BA4" w:rsidRPr="00BB5BA4">
        <w:rPr>
          <w:rFonts w:ascii="Times New Roman" w:hAnsi="Times New Roman" w:cs="Times New Roman"/>
          <w:sz w:val="24"/>
          <w:szCs w:val="24"/>
        </w:rPr>
        <w:t xml:space="preserve">over-the-top vagy </w:t>
      </w:r>
      <w:r w:rsidR="00F00487" w:rsidRPr="00BB5BA4">
        <w:rPr>
          <w:rFonts w:ascii="Times New Roman" w:hAnsi="Times New Roman" w:cs="Times New Roman"/>
          <w:sz w:val="24"/>
          <w:szCs w:val="24"/>
        </w:rPr>
        <w:t>OTT kommunikációs szolgáltatásokkal</w:t>
      </w:r>
      <w:r w:rsidR="00CF02E4" w:rsidRPr="00BB5BA4">
        <w:rPr>
          <w:rFonts w:ascii="Times New Roman" w:hAnsi="Times New Roman" w:cs="Times New Roman"/>
          <w:sz w:val="24"/>
          <w:szCs w:val="24"/>
        </w:rPr>
        <w:t>,</w:t>
      </w:r>
      <w:r w:rsidR="00F00487" w:rsidRPr="00050E4E">
        <w:rPr>
          <w:rFonts w:ascii="Times New Roman" w:hAnsi="Times New Roman" w:cs="Times New Roman"/>
          <w:sz w:val="24"/>
          <w:szCs w:val="24"/>
        </w:rPr>
        <w:t xml:space="preserve"> érdekes helyzetet eredményezhet</w:t>
      </w:r>
      <w:r w:rsidR="00D8582C">
        <w:rPr>
          <w:rFonts w:ascii="Times New Roman" w:hAnsi="Times New Roman" w:cs="Times New Roman"/>
          <w:sz w:val="24"/>
          <w:szCs w:val="24"/>
        </w:rPr>
        <w:t>,</w:t>
      </w:r>
      <w:r w:rsidR="00F00487" w:rsidRPr="00050E4E">
        <w:rPr>
          <w:rFonts w:ascii="Times New Roman" w:hAnsi="Times New Roman" w:cs="Times New Roman"/>
          <w:sz w:val="24"/>
          <w:szCs w:val="24"/>
        </w:rPr>
        <w:t xml:space="preserve"> amennyiben </w:t>
      </w:r>
      <w:r w:rsidR="00041C7E" w:rsidRPr="00050E4E">
        <w:rPr>
          <w:rFonts w:ascii="Times New Roman" w:hAnsi="Times New Roman" w:cs="Times New Roman"/>
          <w:sz w:val="24"/>
          <w:szCs w:val="24"/>
        </w:rPr>
        <w:t xml:space="preserve">ezzel az alapvetően még távközlésre kitalált követelményekkel a digitális szolgáltatók is – legalább átmeneti ideig – szembetalálják magukat. Végezetül a teljesség kedvéért álljon még itt, hogy ugyancsak nem </w:t>
      </w:r>
      <w:r w:rsidR="00D5207D" w:rsidRPr="00050E4E">
        <w:rPr>
          <w:rFonts w:ascii="Times New Roman" w:hAnsi="Times New Roman" w:cs="Times New Roman"/>
          <w:sz w:val="24"/>
          <w:szCs w:val="24"/>
        </w:rPr>
        <w:t>fog</w:t>
      </w:r>
      <w:r w:rsidR="00041C7E" w:rsidRPr="00050E4E">
        <w:rPr>
          <w:rFonts w:ascii="Times New Roman" w:hAnsi="Times New Roman" w:cs="Times New Roman"/>
          <w:sz w:val="24"/>
          <w:szCs w:val="24"/>
        </w:rPr>
        <w:t xml:space="preserve">lalkoztak ebben a folyamatban </w:t>
      </w:r>
      <w:r w:rsidR="000B75F3">
        <w:rPr>
          <w:rFonts w:ascii="Times New Roman" w:hAnsi="Times New Roman" w:cs="Times New Roman"/>
          <w:sz w:val="24"/>
          <w:szCs w:val="24"/>
        </w:rPr>
        <w:t xml:space="preserve">a </w:t>
      </w:r>
      <w:r w:rsidR="000B75F3">
        <w:rPr>
          <w:rFonts w:ascii="Times New Roman" w:hAnsi="Times New Roman" w:cs="Times New Roman"/>
          <w:sz w:val="24"/>
          <w:szCs w:val="24"/>
        </w:rPr>
        <w:lastRenderedPageBreak/>
        <w:t>jogalkotók a roaming-r</w:t>
      </w:r>
      <w:r w:rsidR="00520DE8">
        <w:rPr>
          <w:rFonts w:ascii="Times New Roman" w:hAnsi="Times New Roman" w:cs="Times New Roman"/>
          <w:sz w:val="24"/>
          <w:szCs w:val="24"/>
        </w:rPr>
        <w:t>endelettel</w:t>
      </w:r>
      <w:r w:rsidR="00050E4E" w:rsidRPr="00050E4E">
        <w:rPr>
          <w:rStyle w:val="FootnoteReference"/>
          <w:rFonts w:ascii="Times New Roman" w:hAnsi="Times New Roman" w:cs="Times New Roman"/>
          <w:sz w:val="24"/>
          <w:szCs w:val="24"/>
        </w:rPr>
        <w:footnoteReference w:id="11"/>
      </w:r>
      <w:r w:rsidR="000B75F3">
        <w:rPr>
          <w:rFonts w:ascii="Times New Roman" w:hAnsi="Times New Roman" w:cs="Times New Roman"/>
          <w:sz w:val="24"/>
          <w:szCs w:val="24"/>
        </w:rPr>
        <w:t>, a netsemlegességet biztosító r</w:t>
      </w:r>
      <w:r w:rsidR="00041C7E" w:rsidRPr="00050E4E">
        <w:rPr>
          <w:rFonts w:ascii="Times New Roman" w:hAnsi="Times New Roman" w:cs="Times New Roman"/>
          <w:sz w:val="24"/>
          <w:szCs w:val="24"/>
        </w:rPr>
        <w:t>endelettel</w:t>
      </w:r>
      <w:r w:rsidR="00050E4E" w:rsidRPr="00050E4E">
        <w:rPr>
          <w:rStyle w:val="FootnoteReference"/>
          <w:rFonts w:ascii="Times New Roman" w:hAnsi="Times New Roman" w:cs="Times New Roman"/>
          <w:sz w:val="24"/>
          <w:szCs w:val="24"/>
        </w:rPr>
        <w:footnoteReference w:id="12"/>
      </w:r>
      <w:r w:rsidR="00041C7E" w:rsidRPr="00050E4E">
        <w:rPr>
          <w:rFonts w:ascii="Times New Roman" w:hAnsi="Times New Roman" w:cs="Times New Roman"/>
          <w:sz w:val="24"/>
          <w:szCs w:val="24"/>
        </w:rPr>
        <w:t xml:space="preserve"> illetve a nagy sebességű elektronikus hírközlő hálózatok kiépítési k</w:t>
      </w:r>
      <w:r w:rsidR="000B75F3">
        <w:rPr>
          <w:rFonts w:ascii="Times New Roman" w:hAnsi="Times New Roman" w:cs="Times New Roman"/>
          <w:sz w:val="24"/>
          <w:szCs w:val="24"/>
        </w:rPr>
        <w:t>öltségeinek csökkentését célzó i</w:t>
      </w:r>
      <w:r w:rsidR="00041C7E" w:rsidRPr="00050E4E">
        <w:rPr>
          <w:rFonts w:ascii="Times New Roman" w:hAnsi="Times New Roman" w:cs="Times New Roman"/>
          <w:sz w:val="24"/>
          <w:szCs w:val="24"/>
        </w:rPr>
        <w:t>rányelvvel</w:t>
      </w:r>
      <w:r w:rsidR="00041C7E" w:rsidRPr="00050E4E">
        <w:rPr>
          <w:rStyle w:val="FootnoteReference"/>
          <w:rFonts w:ascii="Times New Roman" w:hAnsi="Times New Roman" w:cs="Times New Roman"/>
          <w:sz w:val="24"/>
          <w:szCs w:val="24"/>
        </w:rPr>
        <w:footnoteReference w:id="13"/>
      </w:r>
      <w:r w:rsidR="00050E4E" w:rsidRPr="00050E4E">
        <w:rPr>
          <w:rFonts w:ascii="Times New Roman" w:hAnsi="Times New Roman" w:cs="Times New Roman"/>
          <w:sz w:val="24"/>
          <w:szCs w:val="24"/>
        </w:rPr>
        <w:t>, mégpedig azért</w:t>
      </w:r>
      <w:r w:rsidR="00D8582C">
        <w:rPr>
          <w:rFonts w:ascii="Times New Roman" w:hAnsi="Times New Roman" w:cs="Times New Roman"/>
          <w:sz w:val="24"/>
          <w:szCs w:val="24"/>
        </w:rPr>
        <w:t>,</w:t>
      </w:r>
      <w:r w:rsidR="00050E4E" w:rsidRPr="00050E4E">
        <w:rPr>
          <w:rFonts w:ascii="Times New Roman" w:hAnsi="Times New Roman" w:cs="Times New Roman"/>
          <w:sz w:val="24"/>
          <w:szCs w:val="24"/>
        </w:rPr>
        <w:t xml:space="preserve"> mert a hatályba lépésük</w:t>
      </w:r>
      <w:r w:rsidR="00041C7E" w:rsidRPr="00050E4E">
        <w:rPr>
          <w:rFonts w:ascii="Times New Roman" w:hAnsi="Times New Roman" w:cs="Times New Roman"/>
          <w:sz w:val="24"/>
          <w:szCs w:val="24"/>
        </w:rPr>
        <w:t xml:space="preserve"> illetve alkalmazásuk kezdete óta </w:t>
      </w:r>
      <w:r w:rsidR="00050E4E" w:rsidRPr="00050E4E">
        <w:rPr>
          <w:rFonts w:ascii="Times New Roman" w:hAnsi="Times New Roman" w:cs="Times New Roman"/>
          <w:sz w:val="24"/>
          <w:szCs w:val="24"/>
        </w:rPr>
        <w:t xml:space="preserve">eltelt idő ezt még nem indokolta. </w:t>
      </w:r>
    </w:p>
    <w:p w14:paraId="3B2DD4C2" w14:textId="77777777" w:rsidR="00127179" w:rsidRDefault="00127179" w:rsidP="00127179">
      <w:pPr>
        <w:jc w:val="both"/>
        <w:rPr>
          <w:rFonts w:ascii="Times New Roman" w:hAnsi="Times New Roman" w:cs="Times New Roman"/>
          <w:b/>
          <w:sz w:val="24"/>
          <w:szCs w:val="24"/>
        </w:rPr>
      </w:pPr>
      <w:r w:rsidRPr="00127179">
        <w:rPr>
          <w:rFonts w:ascii="Times New Roman" w:hAnsi="Times New Roman" w:cs="Times New Roman"/>
          <w:b/>
          <w:sz w:val="24"/>
          <w:szCs w:val="24"/>
        </w:rPr>
        <w:t xml:space="preserve">2. Az elektronikus hírközlési szolgáltatások végfelhasználóit megillető </w:t>
      </w:r>
      <w:r>
        <w:rPr>
          <w:rFonts w:ascii="Times New Roman" w:hAnsi="Times New Roman" w:cs="Times New Roman"/>
          <w:b/>
          <w:sz w:val="24"/>
          <w:szCs w:val="24"/>
        </w:rPr>
        <w:t xml:space="preserve">jogokra vonatkozó </w:t>
      </w:r>
      <w:r w:rsidRPr="00127179">
        <w:rPr>
          <w:rFonts w:ascii="Times New Roman" w:hAnsi="Times New Roman" w:cs="Times New Roman"/>
          <w:b/>
          <w:sz w:val="24"/>
          <w:szCs w:val="24"/>
        </w:rPr>
        <w:t xml:space="preserve">új szabályok </w:t>
      </w:r>
    </w:p>
    <w:p w14:paraId="6847E958" w14:textId="77777777" w:rsidR="00127179" w:rsidRPr="00127179" w:rsidRDefault="00127179" w:rsidP="00127179">
      <w:pPr>
        <w:jc w:val="both"/>
        <w:rPr>
          <w:rFonts w:ascii="Times New Roman" w:hAnsi="Times New Roman" w:cs="Times New Roman"/>
          <w:b/>
          <w:sz w:val="24"/>
          <w:szCs w:val="24"/>
        </w:rPr>
      </w:pPr>
      <w:r>
        <w:rPr>
          <w:rFonts w:ascii="Times New Roman" w:hAnsi="Times New Roman" w:cs="Times New Roman"/>
          <w:b/>
          <w:sz w:val="24"/>
          <w:szCs w:val="24"/>
        </w:rPr>
        <w:t>2.1. Általános célok</w:t>
      </w:r>
    </w:p>
    <w:p w14:paraId="29CFD120" w14:textId="6E9B0599" w:rsidR="00403D9E" w:rsidRDefault="00520DE8" w:rsidP="00403D9E">
      <w:pPr>
        <w:jc w:val="both"/>
        <w:rPr>
          <w:rFonts w:ascii="Times New Roman" w:hAnsi="Times New Roman" w:cs="Times New Roman"/>
          <w:sz w:val="24"/>
          <w:szCs w:val="24"/>
        </w:rPr>
      </w:pPr>
      <w:r>
        <w:rPr>
          <w:rFonts w:ascii="Times New Roman" w:hAnsi="Times New Roman" w:cs="Times New Roman"/>
          <w:sz w:val="24"/>
          <w:szCs w:val="24"/>
        </w:rPr>
        <w:t>E bevezető általános áttekintés után a cikk hátralévő részét egyetlen terület részletese</w:t>
      </w:r>
      <w:r w:rsidR="00E42A55">
        <w:rPr>
          <w:rFonts w:ascii="Times New Roman" w:hAnsi="Times New Roman" w:cs="Times New Roman"/>
          <w:sz w:val="24"/>
          <w:szCs w:val="24"/>
        </w:rPr>
        <w:t>bb bemutatásának szenteljük</w:t>
      </w:r>
      <w:r>
        <w:rPr>
          <w:rFonts w:ascii="Times New Roman" w:hAnsi="Times New Roman" w:cs="Times New Roman"/>
          <w:sz w:val="24"/>
          <w:szCs w:val="24"/>
        </w:rPr>
        <w:t xml:space="preserve">, nevezetesen annak, hogy </w:t>
      </w:r>
      <w:r w:rsidR="00B77040">
        <w:rPr>
          <w:rFonts w:ascii="Times New Roman" w:hAnsi="Times New Roman" w:cs="Times New Roman"/>
          <w:sz w:val="24"/>
          <w:szCs w:val="24"/>
        </w:rPr>
        <w:t xml:space="preserve">miként szabályozza a Kódex az elektronikus hírközlési szolgáltatások </w:t>
      </w:r>
      <w:r w:rsidR="004269FE">
        <w:rPr>
          <w:rFonts w:ascii="Times New Roman" w:hAnsi="Times New Roman" w:cs="Times New Roman"/>
          <w:sz w:val="24"/>
          <w:szCs w:val="24"/>
        </w:rPr>
        <w:t>vég</w:t>
      </w:r>
      <w:r w:rsidR="00B77040">
        <w:rPr>
          <w:rFonts w:ascii="Times New Roman" w:hAnsi="Times New Roman" w:cs="Times New Roman"/>
          <w:sz w:val="24"/>
          <w:szCs w:val="24"/>
        </w:rPr>
        <w:t>felhasználói</w:t>
      </w:r>
      <w:r w:rsidR="00857DD5">
        <w:rPr>
          <w:rFonts w:ascii="Times New Roman" w:hAnsi="Times New Roman" w:cs="Times New Roman"/>
          <w:sz w:val="24"/>
          <w:szCs w:val="24"/>
        </w:rPr>
        <w:t>t megillető jogokat</w:t>
      </w:r>
      <w:r w:rsidR="004269FE">
        <w:rPr>
          <w:rFonts w:ascii="Times New Roman" w:hAnsi="Times New Roman" w:cs="Times New Roman"/>
          <w:sz w:val="24"/>
          <w:szCs w:val="24"/>
        </w:rPr>
        <w:t xml:space="preserve">. </w:t>
      </w:r>
      <w:r w:rsidR="00403D9E">
        <w:rPr>
          <w:rFonts w:ascii="Times New Roman" w:hAnsi="Times New Roman" w:cs="Times New Roman"/>
          <w:sz w:val="24"/>
          <w:szCs w:val="24"/>
        </w:rPr>
        <w:t>Az</w:t>
      </w:r>
      <w:r w:rsidR="00C71DEC">
        <w:rPr>
          <w:rFonts w:ascii="Times New Roman" w:hAnsi="Times New Roman" w:cs="Times New Roman"/>
          <w:sz w:val="24"/>
          <w:szCs w:val="24"/>
        </w:rPr>
        <w:t xml:space="preserve"> az ál</w:t>
      </w:r>
      <w:r w:rsidR="00107C07">
        <w:rPr>
          <w:rFonts w:ascii="Times New Roman" w:hAnsi="Times New Roman" w:cs="Times New Roman"/>
          <w:sz w:val="24"/>
          <w:szCs w:val="24"/>
        </w:rPr>
        <w:t>t</w:t>
      </w:r>
      <w:r w:rsidR="00C71DEC">
        <w:rPr>
          <w:rFonts w:ascii="Times New Roman" w:hAnsi="Times New Roman" w:cs="Times New Roman"/>
          <w:sz w:val="24"/>
          <w:szCs w:val="24"/>
        </w:rPr>
        <w:t>alános célki</w:t>
      </w:r>
      <w:r w:rsidR="00107C07">
        <w:rPr>
          <w:rFonts w:ascii="Times New Roman" w:hAnsi="Times New Roman" w:cs="Times New Roman"/>
          <w:sz w:val="24"/>
          <w:szCs w:val="24"/>
        </w:rPr>
        <w:t xml:space="preserve">tűzés, amelynek érdekében az európai jogalkotók </w:t>
      </w:r>
      <w:r w:rsidR="00C71DEC">
        <w:rPr>
          <w:rFonts w:ascii="Times New Roman" w:hAnsi="Times New Roman" w:cs="Times New Roman"/>
          <w:sz w:val="24"/>
          <w:szCs w:val="24"/>
        </w:rPr>
        <w:t>indokoltnak látják, hogy meghatározzanak bizonyos felhasználói jogokat</w:t>
      </w:r>
      <w:r w:rsidR="00E42A55">
        <w:rPr>
          <w:rFonts w:ascii="Times New Roman" w:hAnsi="Times New Roman" w:cs="Times New Roman"/>
          <w:sz w:val="24"/>
          <w:szCs w:val="24"/>
        </w:rPr>
        <w:t>,</w:t>
      </w:r>
      <w:r w:rsidR="00C71DEC">
        <w:rPr>
          <w:rFonts w:ascii="Times New Roman" w:hAnsi="Times New Roman" w:cs="Times New Roman"/>
          <w:sz w:val="24"/>
          <w:szCs w:val="24"/>
        </w:rPr>
        <w:t xml:space="preserve"> változatlan formában él tovább </w:t>
      </w:r>
      <w:r w:rsidR="00BB2ECE">
        <w:rPr>
          <w:rFonts w:ascii="Times New Roman" w:hAnsi="Times New Roman" w:cs="Times New Roman"/>
          <w:sz w:val="24"/>
          <w:szCs w:val="24"/>
        </w:rPr>
        <w:t>az új jogszabályban is</w:t>
      </w:r>
      <w:r w:rsidR="00C71DEC">
        <w:rPr>
          <w:rFonts w:ascii="Times New Roman" w:hAnsi="Times New Roman" w:cs="Times New Roman"/>
          <w:sz w:val="24"/>
          <w:szCs w:val="24"/>
        </w:rPr>
        <w:t xml:space="preserve">: az Európai Unió ezen </w:t>
      </w:r>
      <w:r w:rsidR="00403D9E">
        <w:rPr>
          <w:rFonts w:ascii="Times New Roman" w:hAnsi="Times New Roman" w:cs="Times New Roman"/>
          <w:sz w:val="24"/>
          <w:szCs w:val="24"/>
        </w:rPr>
        <w:t xml:space="preserve">ágazatspecifikus </w:t>
      </w:r>
      <w:r w:rsidR="00C71DEC">
        <w:rPr>
          <w:rFonts w:ascii="Times New Roman" w:hAnsi="Times New Roman" w:cs="Times New Roman"/>
          <w:sz w:val="24"/>
          <w:szCs w:val="24"/>
        </w:rPr>
        <w:t xml:space="preserve">fogyasztóvédelmi </w:t>
      </w:r>
      <w:r w:rsidR="00403D9E" w:rsidRPr="00403D9E">
        <w:rPr>
          <w:rFonts w:ascii="Times New Roman" w:hAnsi="Times New Roman" w:cs="Times New Roman"/>
          <w:sz w:val="24"/>
          <w:szCs w:val="24"/>
        </w:rPr>
        <w:t xml:space="preserve">szabályok révén </w:t>
      </w:r>
      <w:r w:rsidR="00C71DEC">
        <w:rPr>
          <w:rFonts w:ascii="Times New Roman" w:hAnsi="Times New Roman" w:cs="Times New Roman"/>
          <w:sz w:val="24"/>
          <w:szCs w:val="24"/>
        </w:rPr>
        <w:t xml:space="preserve">kíván gondoskodni </w:t>
      </w:r>
      <w:r w:rsidR="00403D9E" w:rsidRPr="00403D9E">
        <w:rPr>
          <w:rFonts w:ascii="Times New Roman" w:hAnsi="Times New Roman" w:cs="Times New Roman"/>
          <w:sz w:val="24"/>
          <w:szCs w:val="24"/>
        </w:rPr>
        <w:t>a végfelha</w:t>
      </w:r>
      <w:r w:rsidR="00C71DEC">
        <w:rPr>
          <w:rFonts w:ascii="Times New Roman" w:hAnsi="Times New Roman" w:cs="Times New Roman"/>
          <w:sz w:val="24"/>
          <w:szCs w:val="24"/>
        </w:rPr>
        <w:t xml:space="preserve">sználók egységesen magas szintű </w:t>
      </w:r>
      <w:r w:rsidR="00403D9E" w:rsidRPr="00403D9E">
        <w:rPr>
          <w:rFonts w:ascii="Times New Roman" w:hAnsi="Times New Roman" w:cs="Times New Roman"/>
          <w:sz w:val="24"/>
          <w:szCs w:val="24"/>
        </w:rPr>
        <w:t>védelméről</w:t>
      </w:r>
      <w:r w:rsidR="00E42A55">
        <w:rPr>
          <w:rFonts w:ascii="Times New Roman" w:hAnsi="Times New Roman" w:cs="Times New Roman"/>
          <w:sz w:val="24"/>
          <w:szCs w:val="24"/>
        </w:rPr>
        <w:t>,</w:t>
      </w:r>
      <w:r w:rsidR="00C71DEC">
        <w:rPr>
          <w:rFonts w:ascii="Times New Roman" w:hAnsi="Times New Roman" w:cs="Times New Roman"/>
          <w:sz w:val="24"/>
          <w:szCs w:val="24"/>
        </w:rPr>
        <w:t xml:space="preserve"> hozzájárulva ezzel az uniós polgárok érdekeinek védelméhez.</w:t>
      </w:r>
    </w:p>
    <w:p w14:paraId="249691A4" w14:textId="507DA5F9" w:rsidR="00127179" w:rsidRDefault="00E42A55" w:rsidP="00403D9E">
      <w:pPr>
        <w:jc w:val="both"/>
        <w:rPr>
          <w:rFonts w:ascii="Times New Roman" w:hAnsi="Times New Roman" w:cs="Times New Roman"/>
          <w:sz w:val="24"/>
          <w:szCs w:val="24"/>
        </w:rPr>
      </w:pPr>
      <w:r>
        <w:rPr>
          <w:rFonts w:ascii="Times New Roman" w:hAnsi="Times New Roman" w:cs="Times New Roman"/>
          <w:sz w:val="24"/>
          <w:szCs w:val="24"/>
        </w:rPr>
        <w:t>Ezek az ágazat</w:t>
      </w:r>
      <w:r w:rsidR="00A01B00">
        <w:rPr>
          <w:rFonts w:ascii="Times New Roman" w:hAnsi="Times New Roman" w:cs="Times New Roman"/>
          <w:sz w:val="24"/>
          <w:szCs w:val="24"/>
        </w:rPr>
        <w:t xml:space="preserve">specifikus fogyasztóvédelmi szabályok a következő tárgykörökbe tartozó előírásokat fedik le: az elektronikus hírközlési szolgáltatások igénybevételéről a végfelhasználókkal kötött szerződésekre vonatkozó </w:t>
      </w:r>
      <w:r w:rsidR="00D62094">
        <w:rPr>
          <w:rFonts w:ascii="Times New Roman" w:hAnsi="Times New Roman" w:cs="Times New Roman"/>
          <w:sz w:val="24"/>
          <w:szCs w:val="24"/>
        </w:rPr>
        <w:t xml:space="preserve">tájékoztatási </w:t>
      </w:r>
      <w:r w:rsidR="00A01B00">
        <w:rPr>
          <w:rFonts w:ascii="Times New Roman" w:hAnsi="Times New Roman" w:cs="Times New Roman"/>
          <w:sz w:val="24"/>
          <w:szCs w:val="24"/>
        </w:rPr>
        <w:t xml:space="preserve">követelmények, a szolgáltatások tarifáinak és egyéb feltételeinek átláthatósága, szolgáltatásminőség, a szolgáltatóváltást elősegítő előírások, </w:t>
      </w:r>
      <w:r w:rsidR="00D62094">
        <w:rPr>
          <w:rFonts w:ascii="Times New Roman" w:hAnsi="Times New Roman" w:cs="Times New Roman"/>
          <w:sz w:val="24"/>
          <w:szCs w:val="24"/>
        </w:rPr>
        <w:t>ideértve a számhordozhatóságot</w:t>
      </w:r>
      <w:r w:rsidR="000A58A6">
        <w:rPr>
          <w:rFonts w:ascii="Times New Roman" w:hAnsi="Times New Roman" w:cs="Times New Roman"/>
          <w:sz w:val="24"/>
          <w:szCs w:val="24"/>
        </w:rPr>
        <w:t xml:space="preserve">, segélyhívási célú illetve vészhelyzeti kommunikáció, továbbítási kötelezettség </w:t>
      </w:r>
      <w:r w:rsidR="000A58A6" w:rsidRPr="000A58A6">
        <w:rPr>
          <w:rFonts w:ascii="Times New Roman" w:hAnsi="Times New Roman" w:cs="Times New Roman"/>
          <w:sz w:val="24"/>
          <w:szCs w:val="24"/>
        </w:rPr>
        <w:t>meghatározott rádióműsor- és televízióműsor-terjesztő szolgáltatások továbbítására</w:t>
      </w:r>
      <w:r w:rsidR="000A58A6">
        <w:rPr>
          <w:rFonts w:ascii="Times New Roman" w:hAnsi="Times New Roman" w:cs="Times New Roman"/>
          <w:sz w:val="24"/>
          <w:szCs w:val="24"/>
        </w:rPr>
        <w:t xml:space="preserve"> (ún. must carry). </w:t>
      </w:r>
    </w:p>
    <w:p w14:paraId="3F5E1253" w14:textId="5366D3E8" w:rsidR="00FF737E" w:rsidRDefault="00547E8E" w:rsidP="00FF737E">
      <w:pPr>
        <w:jc w:val="both"/>
        <w:rPr>
          <w:rFonts w:ascii="Times New Roman" w:hAnsi="Times New Roman" w:cs="Times New Roman"/>
          <w:sz w:val="24"/>
          <w:szCs w:val="24"/>
        </w:rPr>
      </w:pPr>
      <w:r>
        <w:rPr>
          <w:rFonts w:ascii="Times New Roman" w:hAnsi="Times New Roman" w:cs="Times New Roman"/>
          <w:sz w:val="24"/>
          <w:szCs w:val="24"/>
        </w:rPr>
        <w:t>Mielőtt belebocsátkoznán</w:t>
      </w:r>
      <w:r w:rsidR="00FF737E">
        <w:rPr>
          <w:rFonts w:ascii="Times New Roman" w:hAnsi="Times New Roman" w:cs="Times New Roman"/>
          <w:sz w:val="24"/>
          <w:szCs w:val="24"/>
        </w:rPr>
        <w:t>k az e tárgykörökbe tartozó rendelkezések, módosítások ismerteté</w:t>
      </w:r>
      <w:r>
        <w:rPr>
          <w:rFonts w:ascii="Times New Roman" w:hAnsi="Times New Roman" w:cs="Times New Roman"/>
          <w:sz w:val="24"/>
          <w:szCs w:val="24"/>
        </w:rPr>
        <w:t>sébe, feltétlenül ki kell térni</w:t>
      </w:r>
      <w:r w:rsidR="00FF737E">
        <w:rPr>
          <w:rFonts w:ascii="Times New Roman" w:hAnsi="Times New Roman" w:cs="Times New Roman"/>
          <w:sz w:val="24"/>
          <w:szCs w:val="24"/>
        </w:rPr>
        <w:t xml:space="preserve"> arra a két dologra, ami a Hírközlési Kódex legnagyobb újdonsága a végfelhasználói jogok eddigi szabályozásához képest. Az egyik e szabályok tárgyi hatályában</w:t>
      </w:r>
      <w:r>
        <w:rPr>
          <w:rFonts w:ascii="Times New Roman" w:hAnsi="Times New Roman" w:cs="Times New Roman"/>
          <w:sz w:val="24"/>
          <w:szCs w:val="24"/>
        </w:rPr>
        <w:t>,</w:t>
      </w:r>
      <w:r w:rsidR="00FF737E">
        <w:rPr>
          <w:rFonts w:ascii="Times New Roman" w:hAnsi="Times New Roman" w:cs="Times New Roman"/>
          <w:sz w:val="24"/>
          <w:szCs w:val="24"/>
        </w:rPr>
        <w:t xml:space="preserve"> a másik pedig a harmonizáció szintjében bekövetkező változás. </w:t>
      </w:r>
      <w:r w:rsidR="00553FDC">
        <w:rPr>
          <w:rFonts w:ascii="Times New Roman" w:hAnsi="Times New Roman" w:cs="Times New Roman"/>
          <w:sz w:val="24"/>
          <w:szCs w:val="24"/>
        </w:rPr>
        <w:t xml:space="preserve">Mindkét kérdés jelentős viták tárgya volt a Kódex előkészítése során. </w:t>
      </w:r>
    </w:p>
    <w:p w14:paraId="16F1DA83" w14:textId="77777777" w:rsidR="00D71053" w:rsidRDefault="00D71053" w:rsidP="00FF737E">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2.2. Az elektronikus hírközlési szolgáltatások </w:t>
      </w:r>
      <w:r>
        <w:rPr>
          <w:rFonts w:ascii="Times New Roman" w:hAnsi="Times New Roman" w:cs="Times New Roman"/>
          <w:b/>
          <w:sz w:val="24"/>
          <w:szCs w:val="24"/>
        </w:rPr>
        <w:t>új definíciója</w:t>
      </w:r>
    </w:p>
    <w:p w14:paraId="57589DB1" w14:textId="606AFD35" w:rsidR="00F6453D" w:rsidRDefault="00553FDC" w:rsidP="00FF737E">
      <w:pPr>
        <w:jc w:val="both"/>
        <w:rPr>
          <w:rFonts w:ascii="Times New Roman" w:hAnsi="Times New Roman" w:cs="Times New Roman"/>
          <w:sz w:val="24"/>
          <w:szCs w:val="24"/>
        </w:rPr>
      </w:pPr>
      <w:r>
        <w:rPr>
          <w:rFonts w:ascii="Times New Roman" w:hAnsi="Times New Roman" w:cs="Times New Roman"/>
          <w:sz w:val="24"/>
          <w:szCs w:val="24"/>
        </w:rPr>
        <w:t>Ezidáig a</w:t>
      </w:r>
      <w:r w:rsidRPr="00553FDC">
        <w:rPr>
          <w:rFonts w:ascii="Times New Roman" w:hAnsi="Times New Roman" w:cs="Times New Roman"/>
          <w:sz w:val="24"/>
          <w:szCs w:val="24"/>
        </w:rPr>
        <w:t>z elektronikus</w:t>
      </w:r>
      <w:r>
        <w:rPr>
          <w:rFonts w:ascii="Times New Roman" w:hAnsi="Times New Roman" w:cs="Times New Roman"/>
          <w:sz w:val="24"/>
          <w:szCs w:val="24"/>
        </w:rPr>
        <w:t xml:space="preserve"> hírközlési szolgáltatások nélkülözhetetlen paramétere volt a jelátvitel, </w:t>
      </w:r>
      <w:r w:rsidR="00D37423">
        <w:rPr>
          <w:rFonts w:ascii="Times New Roman" w:hAnsi="Times New Roman" w:cs="Times New Roman"/>
          <w:sz w:val="24"/>
          <w:szCs w:val="24"/>
        </w:rPr>
        <w:t xml:space="preserve">kizárólag a teljes egészében vagy részben jeltovábbításból álló szolgáltatások tartoztak </w:t>
      </w:r>
      <w:r>
        <w:rPr>
          <w:rFonts w:ascii="Times New Roman" w:hAnsi="Times New Roman" w:cs="Times New Roman"/>
          <w:sz w:val="24"/>
          <w:szCs w:val="24"/>
        </w:rPr>
        <w:t>egy a</w:t>
      </w:r>
      <w:r w:rsidR="00D37423">
        <w:rPr>
          <w:rFonts w:ascii="Times New Roman" w:hAnsi="Times New Roman" w:cs="Times New Roman"/>
          <w:sz w:val="24"/>
          <w:szCs w:val="24"/>
        </w:rPr>
        <w:t xml:space="preserve"> hírközlési szabályozás </w:t>
      </w:r>
      <w:r>
        <w:rPr>
          <w:rFonts w:ascii="Times New Roman" w:hAnsi="Times New Roman" w:cs="Times New Roman"/>
          <w:sz w:val="24"/>
          <w:szCs w:val="24"/>
        </w:rPr>
        <w:t>hatálya alá</w:t>
      </w:r>
      <w:r w:rsidR="00D37423">
        <w:rPr>
          <w:rFonts w:ascii="Times New Roman" w:hAnsi="Times New Roman" w:cs="Times New Roman"/>
          <w:sz w:val="24"/>
          <w:szCs w:val="24"/>
        </w:rPr>
        <w:t>. A Kódex megalkot</w:t>
      </w:r>
      <w:r w:rsidR="00DE138D">
        <w:rPr>
          <w:rFonts w:ascii="Times New Roman" w:hAnsi="Times New Roman" w:cs="Times New Roman"/>
          <w:sz w:val="24"/>
          <w:szCs w:val="24"/>
        </w:rPr>
        <w:t xml:space="preserve">ásának idejére azonban már </w:t>
      </w:r>
      <w:r w:rsidR="00D37423">
        <w:rPr>
          <w:rFonts w:ascii="Times New Roman" w:hAnsi="Times New Roman" w:cs="Times New Roman"/>
          <w:sz w:val="24"/>
          <w:szCs w:val="24"/>
        </w:rPr>
        <w:t xml:space="preserve"> megkerülhetetlenné vált az a tény,</w:t>
      </w:r>
      <w:r w:rsidR="00EC5EBE">
        <w:rPr>
          <w:rFonts w:ascii="Times New Roman" w:hAnsi="Times New Roman" w:cs="Times New Roman"/>
          <w:sz w:val="24"/>
          <w:szCs w:val="24"/>
        </w:rPr>
        <w:t xml:space="preserve"> </w:t>
      </w:r>
      <w:r w:rsidR="00D37423">
        <w:rPr>
          <w:rFonts w:ascii="Times New Roman" w:hAnsi="Times New Roman" w:cs="Times New Roman"/>
          <w:sz w:val="24"/>
          <w:szCs w:val="24"/>
        </w:rPr>
        <w:t>hogy a</w:t>
      </w:r>
      <w:r w:rsidR="00D37423" w:rsidRPr="00553FDC">
        <w:rPr>
          <w:rFonts w:ascii="Times New Roman" w:hAnsi="Times New Roman" w:cs="Times New Roman"/>
          <w:sz w:val="24"/>
          <w:szCs w:val="24"/>
        </w:rPr>
        <w:t xml:space="preserve"> végfelhasználók a hagyományos </w:t>
      </w:r>
      <w:r w:rsidR="00D37423" w:rsidRPr="00553FDC">
        <w:rPr>
          <w:rFonts w:ascii="Times New Roman" w:hAnsi="Times New Roman" w:cs="Times New Roman"/>
          <w:sz w:val="24"/>
          <w:szCs w:val="24"/>
        </w:rPr>
        <w:lastRenderedPageBreak/>
        <w:t xml:space="preserve">telefonszolgáltatás, a szöveges üzenetek (sms) helyett mindinkább ezekkel funkcionálisan egyenértékű online szolgáltatásokat – például </w:t>
      </w:r>
      <w:r w:rsidR="00903FB9">
        <w:rPr>
          <w:rFonts w:ascii="Times New Roman" w:hAnsi="Times New Roman" w:cs="Times New Roman"/>
          <w:sz w:val="24"/>
          <w:szCs w:val="24"/>
        </w:rPr>
        <w:t>VoIP</w:t>
      </w:r>
      <w:r w:rsidR="00DE138D">
        <w:rPr>
          <w:rFonts w:ascii="Times New Roman" w:hAnsi="Times New Roman" w:cs="Times New Roman"/>
          <w:sz w:val="24"/>
          <w:szCs w:val="24"/>
        </w:rPr>
        <w:t>-</w:t>
      </w:r>
      <w:r w:rsidR="00D37423" w:rsidRPr="00553FDC">
        <w:rPr>
          <w:rFonts w:ascii="Times New Roman" w:hAnsi="Times New Roman" w:cs="Times New Roman"/>
          <w:sz w:val="24"/>
          <w:szCs w:val="24"/>
        </w:rPr>
        <w:t>szolgáltatásokat</w:t>
      </w:r>
      <w:r w:rsidR="00FC5F5E">
        <w:rPr>
          <w:rFonts w:ascii="Times New Roman" w:hAnsi="Times New Roman" w:cs="Times New Roman"/>
          <w:sz w:val="24"/>
          <w:szCs w:val="24"/>
        </w:rPr>
        <w:t xml:space="preserve"> (pl. Skype)</w:t>
      </w:r>
      <w:r w:rsidR="00D37423" w:rsidRPr="00553FDC">
        <w:rPr>
          <w:rFonts w:ascii="Times New Roman" w:hAnsi="Times New Roman" w:cs="Times New Roman"/>
          <w:sz w:val="24"/>
          <w:szCs w:val="24"/>
        </w:rPr>
        <w:t xml:space="preserve">, üzenetküldési szolgáltatásokat </w:t>
      </w:r>
      <w:r w:rsidR="00FC5F5E">
        <w:rPr>
          <w:rFonts w:ascii="Times New Roman" w:hAnsi="Times New Roman" w:cs="Times New Roman"/>
          <w:sz w:val="24"/>
          <w:szCs w:val="24"/>
        </w:rPr>
        <w:t xml:space="preserve">(pl. Viber, Whatsapp, Messenger) </w:t>
      </w:r>
      <w:r w:rsidR="00DE138D">
        <w:rPr>
          <w:rFonts w:ascii="Times New Roman" w:hAnsi="Times New Roman" w:cs="Times New Roman"/>
          <w:sz w:val="24"/>
          <w:szCs w:val="24"/>
        </w:rPr>
        <w:t>és web</w:t>
      </w:r>
      <w:r w:rsidR="00D37423" w:rsidRPr="00553FDC">
        <w:rPr>
          <w:rFonts w:ascii="Times New Roman" w:hAnsi="Times New Roman" w:cs="Times New Roman"/>
          <w:sz w:val="24"/>
          <w:szCs w:val="24"/>
        </w:rPr>
        <w:t>alapú e-mail</w:t>
      </w:r>
      <w:r w:rsidR="00DE138D">
        <w:rPr>
          <w:rFonts w:ascii="Times New Roman" w:hAnsi="Times New Roman" w:cs="Times New Roman"/>
          <w:sz w:val="24"/>
          <w:szCs w:val="24"/>
        </w:rPr>
        <w:t>-</w:t>
      </w:r>
      <w:r w:rsidR="00D37423" w:rsidRPr="00553FDC">
        <w:rPr>
          <w:rFonts w:ascii="Times New Roman" w:hAnsi="Times New Roman" w:cs="Times New Roman"/>
          <w:sz w:val="24"/>
          <w:szCs w:val="24"/>
        </w:rPr>
        <w:t xml:space="preserve">szolgáltatásokat </w:t>
      </w:r>
      <w:r w:rsidR="00FC5F5E">
        <w:rPr>
          <w:rFonts w:ascii="Times New Roman" w:hAnsi="Times New Roman" w:cs="Times New Roman"/>
          <w:sz w:val="24"/>
          <w:szCs w:val="24"/>
        </w:rPr>
        <w:t xml:space="preserve">- </w:t>
      </w:r>
      <w:r w:rsidR="00D37423" w:rsidRPr="00553FDC">
        <w:rPr>
          <w:rFonts w:ascii="Times New Roman" w:hAnsi="Times New Roman" w:cs="Times New Roman"/>
          <w:sz w:val="24"/>
          <w:szCs w:val="24"/>
        </w:rPr>
        <w:t>használnak</w:t>
      </w:r>
      <w:r w:rsidR="00D37423">
        <w:rPr>
          <w:rFonts w:ascii="Times New Roman" w:hAnsi="Times New Roman" w:cs="Times New Roman"/>
          <w:sz w:val="24"/>
          <w:szCs w:val="24"/>
        </w:rPr>
        <w:t xml:space="preserve"> kommunikációs célra</w:t>
      </w:r>
      <w:r w:rsidR="00EC5EBE">
        <w:rPr>
          <w:rFonts w:ascii="Times New Roman" w:hAnsi="Times New Roman" w:cs="Times New Roman"/>
          <w:sz w:val="24"/>
          <w:szCs w:val="24"/>
        </w:rPr>
        <w:t xml:space="preserve"> és</w:t>
      </w:r>
      <w:r w:rsidR="00D37423" w:rsidRPr="00D37423">
        <w:t xml:space="preserve"> </w:t>
      </w:r>
      <w:r w:rsidR="00EC5EBE">
        <w:rPr>
          <w:rFonts w:ascii="Times New Roman" w:hAnsi="Times New Roman" w:cs="Times New Roman"/>
          <w:sz w:val="24"/>
          <w:szCs w:val="24"/>
        </w:rPr>
        <w:t>a</w:t>
      </w:r>
      <w:r w:rsidR="00D37423" w:rsidRPr="00D37423">
        <w:rPr>
          <w:rFonts w:ascii="Times New Roman" w:hAnsi="Times New Roman" w:cs="Times New Roman"/>
          <w:sz w:val="24"/>
          <w:szCs w:val="24"/>
        </w:rPr>
        <w:t xml:space="preserve"> végfelhasználó szempontjából nem releváns, hogy a szolgáltató maga végzi-e a jelátvitelt, vagy a kommunikáció internet-hozzáférési sz</w:t>
      </w:r>
      <w:r w:rsidR="008A5A5F">
        <w:rPr>
          <w:rFonts w:ascii="Times New Roman" w:hAnsi="Times New Roman" w:cs="Times New Roman"/>
          <w:sz w:val="24"/>
          <w:szCs w:val="24"/>
        </w:rPr>
        <w:t xml:space="preserve">olgáltatáson keresztül valósul </w:t>
      </w:r>
      <w:r w:rsidR="00D37423" w:rsidRPr="00D37423">
        <w:rPr>
          <w:rFonts w:ascii="Times New Roman" w:hAnsi="Times New Roman" w:cs="Times New Roman"/>
          <w:sz w:val="24"/>
          <w:szCs w:val="24"/>
        </w:rPr>
        <w:t xml:space="preserve"> meg</w:t>
      </w:r>
      <w:r w:rsidR="00BB5BA4">
        <w:rPr>
          <w:rFonts w:ascii="Times New Roman" w:hAnsi="Times New Roman" w:cs="Times New Roman"/>
          <w:sz w:val="24"/>
          <w:szCs w:val="24"/>
        </w:rPr>
        <w:t xml:space="preserve"> (ún. over-the-top jelleggel)</w:t>
      </w:r>
      <w:r w:rsidR="00EC5EBE">
        <w:rPr>
          <w:rFonts w:ascii="Times New Roman" w:hAnsi="Times New Roman" w:cs="Times New Roman"/>
          <w:sz w:val="24"/>
          <w:szCs w:val="24"/>
        </w:rPr>
        <w:t>.</w:t>
      </w:r>
      <w:r w:rsidR="008412D1">
        <w:rPr>
          <w:rStyle w:val="FootnoteReference"/>
          <w:rFonts w:ascii="Times New Roman" w:hAnsi="Times New Roman" w:cs="Times New Roman"/>
          <w:sz w:val="24"/>
          <w:szCs w:val="24"/>
        </w:rPr>
        <w:footnoteReference w:id="14"/>
      </w:r>
      <w:r w:rsidR="00EC5EBE">
        <w:rPr>
          <w:rFonts w:ascii="Times New Roman" w:hAnsi="Times New Roman" w:cs="Times New Roman"/>
          <w:sz w:val="24"/>
          <w:szCs w:val="24"/>
        </w:rPr>
        <w:t xml:space="preserve"> Márpedig</w:t>
      </w:r>
      <w:r w:rsidR="00C47DA1">
        <w:rPr>
          <w:rFonts w:ascii="Times New Roman" w:hAnsi="Times New Roman" w:cs="Times New Roman"/>
          <w:sz w:val="24"/>
          <w:szCs w:val="24"/>
        </w:rPr>
        <w:t xml:space="preserve"> amennyiben megfelelően érvényesíteni kívánjuk a</w:t>
      </w:r>
      <w:r w:rsidR="00EC5EBE">
        <w:rPr>
          <w:rFonts w:ascii="Times New Roman" w:hAnsi="Times New Roman" w:cs="Times New Roman"/>
          <w:sz w:val="24"/>
          <w:szCs w:val="24"/>
        </w:rPr>
        <w:t xml:space="preserve"> szektorális fogyasztóvédelmi szabályozás</w:t>
      </w:r>
      <w:r w:rsidR="00F6453D">
        <w:rPr>
          <w:rFonts w:ascii="Times New Roman" w:hAnsi="Times New Roman" w:cs="Times New Roman"/>
          <w:sz w:val="24"/>
          <w:szCs w:val="24"/>
        </w:rPr>
        <w:t xml:space="preserve"> </w:t>
      </w:r>
      <w:r w:rsidR="00EC5EBE">
        <w:rPr>
          <w:rFonts w:ascii="Times New Roman" w:hAnsi="Times New Roman" w:cs="Times New Roman"/>
          <w:sz w:val="24"/>
          <w:szCs w:val="24"/>
        </w:rPr>
        <w:t>alapvető célkitűzés</w:t>
      </w:r>
      <w:r w:rsidR="00C47DA1">
        <w:rPr>
          <w:rFonts w:ascii="Times New Roman" w:hAnsi="Times New Roman" w:cs="Times New Roman"/>
          <w:sz w:val="24"/>
          <w:szCs w:val="24"/>
        </w:rPr>
        <w:t>ét,</w:t>
      </w:r>
      <w:r w:rsidR="00EC5EBE">
        <w:rPr>
          <w:rFonts w:ascii="Times New Roman" w:hAnsi="Times New Roman" w:cs="Times New Roman"/>
          <w:sz w:val="24"/>
          <w:szCs w:val="24"/>
        </w:rPr>
        <w:t xml:space="preserve"> a végfelhasználók hatéko</w:t>
      </w:r>
      <w:r w:rsidR="00C47DA1">
        <w:rPr>
          <w:rFonts w:ascii="Times New Roman" w:hAnsi="Times New Roman" w:cs="Times New Roman"/>
          <w:sz w:val="24"/>
          <w:szCs w:val="24"/>
        </w:rPr>
        <w:t>ny és ugyanolyan szintű védelmét, akkor az megköveteli e védelem hatályának kiterjesztését a funkcionálisan egyenértékű kommunikációt lehetővé tevő szolgáltatásokra. Ezt belátva</w:t>
      </w:r>
      <w:r w:rsidR="00DE138D">
        <w:rPr>
          <w:rFonts w:ascii="Times New Roman" w:hAnsi="Times New Roman" w:cs="Times New Roman"/>
          <w:sz w:val="24"/>
          <w:szCs w:val="24"/>
        </w:rPr>
        <w:t>,</w:t>
      </w:r>
      <w:r w:rsidR="00C47DA1">
        <w:rPr>
          <w:rFonts w:ascii="Times New Roman" w:hAnsi="Times New Roman" w:cs="Times New Roman"/>
          <w:sz w:val="24"/>
          <w:szCs w:val="24"/>
        </w:rPr>
        <w:t xml:space="preserve"> a Kódex kiterjesztette az elektronikus hírközlési szolgáltatás fogalmát úgy, hogy abba </w:t>
      </w:r>
      <w:r w:rsidR="00C47DA1" w:rsidRPr="00553FDC">
        <w:rPr>
          <w:rFonts w:ascii="Times New Roman" w:hAnsi="Times New Roman" w:cs="Times New Roman"/>
          <w:sz w:val="24"/>
          <w:szCs w:val="24"/>
        </w:rPr>
        <w:t>a teljes egészében vagy nagyrészt jelt</w:t>
      </w:r>
      <w:r w:rsidR="00C47DA1">
        <w:rPr>
          <w:rFonts w:ascii="Times New Roman" w:hAnsi="Times New Roman" w:cs="Times New Roman"/>
          <w:sz w:val="24"/>
          <w:szCs w:val="24"/>
        </w:rPr>
        <w:t>ovábbításból álló szolgáltatás</w:t>
      </w:r>
      <w:r w:rsidR="008412D1">
        <w:rPr>
          <w:rFonts w:ascii="Times New Roman" w:hAnsi="Times New Roman" w:cs="Times New Roman"/>
          <w:sz w:val="24"/>
          <w:szCs w:val="24"/>
        </w:rPr>
        <w:t>ok</w:t>
      </w:r>
      <w:r w:rsidR="00C47DA1">
        <w:rPr>
          <w:rFonts w:ascii="Times New Roman" w:hAnsi="Times New Roman" w:cs="Times New Roman"/>
          <w:sz w:val="24"/>
          <w:szCs w:val="24"/>
        </w:rPr>
        <w:t xml:space="preserve"> </w:t>
      </w:r>
      <w:r w:rsidR="00404C16">
        <w:rPr>
          <w:rFonts w:ascii="Times New Roman" w:hAnsi="Times New Roman" w:cs="Times New Roman"/>
          <w:sz w:val="24"/>
          <w:szCs w:val="24"/>
        </w:rPr>
        <w:t>típus</w:t>
      </w:r>
      <w:r w:rsidR="00B13558">
        <w:rPr>
          <w:rFonts w:ascii="Times New Roman" w:hAnsi="Times New Roman" w:cs="Times New Roman"/>
          <w:sz w:val="24"/>
          <w:szCs w:val="24"/>
        </w:rPr>
        <w:t>a</w:t>
      </w:r>
      <w:r w:rsidR="00404C16">
        <w:rPr>
          <w:rFonts w:ascii="Times New Roman" w:hAnsi="Times New Roman" w:cs="Times New Roman"/>
          <w:sz w:val="24"/>
          <w:szCs w:val="24"/>
        </w:rPr>
        <w:t xml:space="preserve"> </w:t>
      </w:r>
      <w:r w:rsidR="00C47DA1">
        <w:rPr>
          <w:rFonts w:ascii="Times New Roman" w:hAnsi="Times New Roman" w:cs="Times New Roman"/>
          <w:sz w:val="24"/>
          <w:szCs w:val="24"/>
        </w:rPr>
        <w:t xml:space="preserve">mellett </w:t>
      </w:r>
      <w:r w:rsidR="00404C16">
        <w:rPr>
          <w:rFonts w:ascii="Times New Roman" w:hAnsi="Times New Roman" w:cs="Times New Roman"/>
          <w:sz w:val="24"/>
          <w:szCs w:val="24"/>
        </w:rPr>
        <w:t>immár beletartozik</w:t>
      </w:r>
      <w:r w:rsidR="00C47DA1">
        <w:rPr>
          <w:rFonts w:ascii="Times New Roman" w:hAnsi="Times New Roman" w:cs="Times New Roman"/>
          <w:sz w:val="24"/>
          <w:szCs w:val="24"/>
        </w:rPr>
        <w:t xml:space="preserve"> az ún. személyközi hírközlési szolgáltatások </w:t>
      </w:r>
      <w:r w:rsidR="00404C16">
        <w:rPr>
          <w:rFonts w:ascii="Times New Roman" w:hAnsi="Times New Roman" w:cs="Times New Roman"/>
          <w:sz w:val="24"/>
          <w:szCs w:val="24"/>
        </w:rPr>
        <w:t>típusa</w:t>
      </w:r>
      <w:r w:rsidR="009707EA">
        <w:rPr>
          <w:rFonts w:ascii="Times New Roman" w:hAnsi="Times New Roman" w:cs="Times New Roman"/>
          <w:sz w:val="24"/>
          <w:szCs w:val="24"/>
        </w:rPr>
        <w:t>,</w:t>
      </w:r>
      <w:r w:rsidR="00404C16">
        <w:rPr>
          <w:rFonts w:ascii="Times New Roman" w:hAnsi="Times New Roman" w:cs="Times New Roman"/>
          <w:sz w:val="24"/>
          <w:szCs w:val="24"/>
        </w:rPr>
        <w:t xml:space="preserve"> valamint </w:t>
      </w:r>
      <w:r w:rsidR="00C47DA1">
        <w:rPr>
          <w:rFonts w:ascii="Times New Roman" w:hAnsi="Times New Roman" w:cs="Times New Roman"/>
          <w:sz w:val="24"/>
          <w:szCs w:val="24"/>
        </w:rPr>
        <w:t xml:space="preserve">az internet-hozzáférési szolgáltatás. </w:t>
      </w:r>
      <w:r w:rsidR="00404C16">
        <w:rPr>
          <w:rFonts w:ascii="Times New Roman" w:hAnsi="Times New Roman" w:cs="Times New Roman"/>
          <w:sz w:val="24"/>
          <w:szCs w:val="24"/>
        </w:rPr>
        <w:t xml:space="preserve">Az </w:t>
      </w:r>
      <w:r w:rsidR="00404C16" w:rsidRPr="00553FDC">
        <w:rPr>
          <w:rFonts w:ascii="Times New Roman" w:hAnsi="Times New Roman" w:cs="Times New Roman"/>
          <w:sz w:val="24"/>
          <w:szCs w:val="24"/>
        </w:rPr>
        <w:t xml:space="preserve">internet-hozzáférési szolgáltatás </w:t>
      </w:r>
      <w:r w:rsidR="00404C16">
        <w:rPr>
          <w:rFonts w:ascii="Times New Roman" w:hAnsi="Times New Roman" w:cs="Times New Roman"/>
          <w:sz w:val="24"/>
          <w:szCs w:val="24"/>
        </w:rPr>
        <w:t xml:space="preserve">fogalma </w:t>
      </w:r>
      <w:r w:rsidR="00404C16" w:rsidRPr="00553FDC">
        <w:rPr>
          <w:rFonts w:ascii="Times New Roman" w:hAnsi="Times New Roman" w:cs="Times New Roman"/>
          <w:sz w:val="24"/>
          <w:szCs w:val="24"/>
        </w:rPr>
        <w:t xml:space="preserve">az (EU) 2015/2120 </w:t>
      </w:r>
      <w:r w:rsidR="00FC5F5E">
        <w:rPr>
          <w:rFonts w:ascii="Times New Roman" w:hAnsi="Times New Roman" w:cs="Times New Roman"/>
          <w:sz w:val="24"/>
          <w:szCs w:val="24"/>
        </w:rPr>
        <w:t xml:space="preserve">rendelet </w:t>
      </w:r>
      <w:r w:rsidR="00404C16" w:rsidRPr="00553FDC">
        <w:rPr>
          <w:rFonts w:ascii="Times New Roman" w:hAnsi="Times New Roman" w:cs="Times New Roman"/>
          <w:sz w:val="24"/>
          <w:szCs w:val="24"/>
        </w:rPr>
        <w:t>2. cikkének (2) bekezdésében foglalt meghatározás</w:t>
      </w:r>
      <w:r w:rsidR="00404C16">
        <w:rPr>
          <w:rFonts w:ascii="Times New Roman" w:hAnsi="Times New Roman" w:cs="Times New Roman"/>
          <w:sz w:val="24"/>
          <w:szCs w:val="24"/>
        </w:rPr>
        <w:t>nak megfelelő</w:t>
      </w:r>
      <w:r w:rsidR="00404C16" w:rsidRPr="00553FDC">
        <w:rPr>
          <w:rFonts w:ascii="Times New Roman" w:hAnsi="Times New Roman" w:cs="Times New Roman"/>
          <w:sz w:val="24"/>
          <w:szCs w:val="24"/>
        </w:rPr>
        <w:t>,</w:t>
      </w:r>
      <w:r w:rsidR="00404C16">
        <w:rPr>
          <w:rFonts w:ascii="Times New Roman" w:hAnsi="Times New Roman" w:cs="Times New Roman"/>
          <w:sz w:val="24"/>
          <w:szCs w:val="24"/>
        </w:rPr>
        <w:t xml:space="preserve"> </w:t>
      </w:r>
      <w:r w:rsidR="008A5A5F">
        <w:rPr>
          <w:rFonts w:ascii="Times New Roman" w:hAnsi="Times New Roman" w:cs="Times New Roman"/>
          <w:sz w:val="24"/>
          <w:szCs w:val="24"/>
        </w:rPr>
        <w:t>tehát ezen</w:t>
      </w:r>
      <w:r w:rsidR="00BB5BA4">
        <w:rPr>
          <w:rFonts w:ascii="Times New Roman" w:hAnsi="Times New Roman" w:cs="Times New Roman"/>
          <w:sz w:val="24"/>
          <w:szCs w:val="24"/>
        </w:rPr>
        <w:t xml:space="preserve"> értendő az </w:t>
      </w:r>
      <w:r w:rsidR="009707EA">
        <w:rPr>
          <w:rFonts w:ascii="Times New Roman" w:hAnsi="Times New Roman" w:cs="Times New Roman"/>
          <w:sz w:val="24"/>
          <w:szCs w:val="24"/>
        </w:rPr>
        <w:t xml:space="preserve">a </w:t>
      </w:r>
      <w:r w:rsidR="00BB5BA4" w:rsidRPr="00BB5BA4">
        <w:rPr>
          <w:rFonts w:ascii="Times New Roman" w:hAnsi="Times New Roman" w:cs="Times New Roman"/>
          <w:sz w:val="24"/>
          <w:szCs w:val="24"/>
        </w:rPr>
        <w:t>nyilvánosan elérhető elektronikus hírközlési szolgálta</w:t>
      </w:r>
      <w:r w:rsidR="00BB5BA4">
        <w:rPr>
          <w:rFonts w:ascii="Times New Roman" w:hAnsi="Times New Roman" w:cs="Times New Roman"/>
          <w:sz w:val="24"/>
          <w:szCs w:val="24"/>
        </w:rPr>
        <w:t xml:space="preserve">tás, amely internetcsatlakozást </w:t>
      </w:r>
      <w:r w:rsidR="00BB5BA4" w:rsidRPr="00BB5BA4">
        <w:rPr>
          <w:rFonts w:ascii="Times New Roman" w:hAnsi="Times New Roman" w:cs="Times New Roman"/>
          <w:sz w:val="24"/>
          <w:szCs w:val="24"/>
        </w:rPr>
        <w:t>és ezáltal az internet lényegében valamennyi végpontjával összekapcsolási lehetőség</w:t>
      </w:r>
      <w:r w:rsidR="00BB5BA4">
        <w:rPr>
          <w:rFonts w:ascii="Times New Roman" w:hAnsi="Times New Roman" w:cs="Times New Roman"/>
          <w:sz w:val="24"/>
          <w:szCs w:val="24"/>
        </w:rPr>
        <w:t xml:space="preserve">et biztosít, tekintet nélkül az </w:t>
      </w:r>
      <w:r w:rsidR="00BB5BA4" w:rsidRPr="00BB5BA4">
        <w:rPr>
          <w:rFonts w:ascii="Times New Roman" w:hAnsi="Times New Roman" w:cs="Times New Roman"/>
          <w:sz w:val="24"/>
          <w:szCs w:val="24"/>
        </w:rPr>
        <w:t>alkalmazott hálózati technológiára és a használt végberendezésre</w:t>
      </w:r>
      <w:r w:rsidR="00BB5BA4">
        <w:rPr>
          <w:rFonts w:ascii="Times New Roman" w:hAnsi="Times New Roman" w:cs="Times New Roman"/>
          <w:sz w:val="24"/>
          <w:szCs w:val="24"/>
        </w:rPr>
        <w:t>. A</w:t>
      </w:r>
      <w:r w:rsidR="008043CF" w:rsidRPr="008043CF">
        <w:rPr>
          <w:rFonts w:ascii="Times New Roman" w:hAnsi="Times New Roman" w:cs="Times New Roman"/>
          <w:sz w:val="24"/>
          <w:szCs w:val="24"/>
        </w:rPr>
        <w:t xml:space="preserve"> személyközi hírközlési szolgáltatások </w:t>
      </w:r>
      <w:r w:rsidR="008043CF">
        <w:rPr>
          <w:rFonts w:ascii="Times New Roman" w:hAnsi="Times New Roman" w:cs="Times New Roman"/>
          <w:sz w:val="24"/>
          <w:szCs w:val="24"/>
        </w:rPr>
        <w:t xml:space="preserve">pedig </w:t>
      </w:r>
      <w:r w:rsidR="008043CF" w:rsidRPr="008043CF">
        <w:rPr>
          <w:rFonts w:ascii="Times New Roman" w:hAnsi="Times New Roman" w:cs="Times New Roman"/>
          <w:sz w:val="24"/>
          <w:szCs w:val="24"/>
        </w:rPr>
        <w:t xml:space="preserve">olyan szolgáltatások, amelyek személyek közötti </w:t>
      </w:r>
      <w:r w:rsidR="008B0C44">
        <w:rPr>
          <w:rFonts w:ascii="Times New Roman" w:hAnsi="Times New Roman" w:cs="Times New Roman"/>
          <w:sz w:val="24"/>
          <w:szCs w:val="24"/>
        </w:rPr>
        <w:t xml:space="preserve">közvetlen, </w:t>
      </w:r>
      <w:r w:rsidR="008043CF" w:rsidRPr="008043CF">
        <w:rPr>
          <w:rFonts w:ascii="Times New Roman" w:hAnsi="Times New Roman" w:cs="Times New Roman"/>
          <w:sz w:val="24"/>
          <w:szCs w:val="24"/>
        </w:rPr>
        <w:t xml:space="preserve">interaktív információcserét tesznek lehetővé </w:t>
      </w:r>
      <w:r w:rsidR="008B0C44">
        <w:rPr>
          <w:rFonts w:ascii="Times New Roman" w:hAnsi="Times New Roman" w:cs="Times New Roman"/>
          <w:sz w:val="24"/>
          <w:szCs w:val="24"/>
        </w:rPr>
        <w:t>elek</w:t>
      </w:r>
      <w:r w:rsidR="00F6453D">
        <w:rPr>
          <w:rFonts w:ascii="Times New Roman" w:hAnsi="Times New Roman" w:cs="Times New Roman"/>
          <w:sz w:val="24"/>
          <w:szCs w:val="24"/>
        </w:rPr>
        <w:t xml:space="preserve">tronikus hírközlési hálózatokon, nem csupán kiegészítő funkcióként, </w:t>
      </w:r>
      <w:r w:rsidR="008043CF" w:rsidRPr="008043CF">
        <w:rPr>
          <w:rFonts w:ascii="Times New Roman" w:hAnsi="Times New Roman" w:cs="Times New Roman"/>
          <w:sz w:val="24"/>
          <w:szCs w:val="24"/>
        </w:rPr>
        <w:t xml:space="preserve">kizárólag a </w:t>
      </w:r>
      <w:r w:rsidR="008B0C44">
        <w:rPr>
          <w:rFonts w:ascii="Times New Roman" w:hAnsi="Times New Roman" w:cs="Times New Roman"/>
          <w:sz w:val="24"/>
          <w:szCs w:val="24"/>
        </w:rPr>
        <w:t xml:space="preserve">kommunikáció </w:t>
      </w:r>
      <w:r w:rsidR="008043CF" w:rsidRPr="008043CF">
        <w:rPr>
          <w:rFonts w:ascii="Times New Roman" w:hAnsi="Times New Roman" w:cs="Times New Roman"/>
          <w:sz w:val="24"/>
          <w:szCs w:val="24"/>
        </w:rPr>
        <w:t>küldője által meghatározott, véges számú, azaz nem potenciálisan korlátlan s</w:t>
      </w:r>
      <w:r w:rsidR="008043CF">
        <w:rPr>
          <w:rFonts w:ascii="Times New Roman" w:hAnsi="Times New Roman" w:cs="Times New Roman"/>
          <w:sz w:val="24"/>
          <w:szCs w:val="24"/>
        </w:rPr>
        <w:t xml:space="preserve">zámú természetes személy között, akár </w:t>
      </w:r>
      <w:r w:rsidR="008043CF" w:rsidRPr="00944C07">
        <w:rPr>
          <w:rFonts w:ascii="Times New Roman" w:hAnsi="Times New Roman" w:cs="Times New Roman"/>
          <w:sz w:val="24"/>
          <w:szCs w:val="24"/>
        </w:rPr>
        <w:t>számozási tervben szereplő hívószá</w:t>
      </w:r>
      <w:r w:rsidR="008043CF">
        <w:rPr>
          <w:rFonts w:ascii="Times New Roman" w:hAnsi="Times New Roman" w:cs="Times New Roman"/>
          <w:sz w:val="24"/>
          <w:szCs w:val="24"/>
        </w:rPr>
        <w:t>m</w:t>
      </w:r>
      <w:r w:rsidR="00BB5BA4">
        <w:rPr>
          <w:rFonts w:ascii="Times New Roman" w:hAnsi="Times New Roman" w:cs="Times New Roman"/>
          <w:sz w:val="24"/>
          <w:szCs w:val="24"/>
        </w:rPr>
        <w:t>o</w:t>
      </w:r>
      <w:r w:rsidR="008B0C44">
        <w:rPr>
          <w:rFonts w:ascii="Times New Roman" w:hAnsi="Times New Roman" w:cs="Times New Roman"/>
          <w:sz w:val="24"/>
          <w:szCs w:val="24"/>
        </w:rPr>
        <w:t>k</w:t>
      </w:r>
      <w:r w:rsidR="00BB5BA4">
        <w:rPr>
          <w:rFonts w:ascii="Times New Roman" w:hAnsi="Times New Roman" w:cs="Times New Roman"/>
          <w:sz w:val="24"/>
          <w:szCs w:val="24"/>
        </w:rPr>
        <w:t>k</w:t>
      </w:r>
      <w:r w:rsidR="008B0C44">
        <w:rPr>
          <w:rFonts w:ascii="Times New Roman" w:hAnsi="Times New Roman" w:cs="Times New Roman"/>
          <w:sz w:val="24"/>
          <w:szCs w:val="24"/>
        </w:rPr>
        <w:t>al</w:t>
      </w:r>
      <w:r w:rsidR="008043CF">
        <w:rPr>
          <w:rFonts w:ascii="Times New Roman" w:hAnsi="Times New Roman" w:cs="Times New Roman"/>
          <w:sz w:val="24"/>
          <w:szCs w:val="24"/>
        </w:rPr>
        <w:t xml:space="preserve"> vagy hívószámok</w:t>
      </w:r>
      <w:r w:rsidR="008B0C44">
        <w:rPr>
          <w:rFonts w:ascii="Times New Roman" w:hAnsi="Times New Roman" w:cs="Times New Roman"/>
          <w:sz w:val="24"/>
          <w:szCs w:val="24"/>
        </w:rPr>
        <w:t xml:space="preserve">hoz való kapcsolódás </w:t>
      </w:r>
      <w:r w:rsidR="008043CF">
        <w:rPr>
          <w:rFonts w:ascii="Times New Roman" w:hAnsi="Times New Roman" w:cs="Times New Roman"/>
          <w:sz w:val="24"/>
          <w:szCs w:val="24"/>
        </w:rPr>
        <w:t>segítségével</w:t>
      </w:r>
      <w:r w:rsidR="008B0C44">
        <w:rPr>
          <w:rFonts w:ascii="Times New Roman" w:hAnsi="Times New Roman" w:cs="Times New Roman"/>
          <w:sz w:val="24"/>
          <w:szCs w:val="24"/>
        </w:rPr>
        <w:t xml:space="preserve"> (számfüggő személyközi hírközlési szolgáltatás</w:t>
      </w:r>
      <w:r w:rsidR="00BB5BA4">
        <w:rPr>
          <w:rFonts w:ascii="Times New Roman" w:hAnsi="Times New Roman" w:cs="Times New Roman"/>
          <w:sz w:val="24"/>
          <w:szCs w:val="24"/>
        </w:rPr>
        <w:t>ok</w:t>
      </w:r>
      <w:r w:rsidR="008B0C44">
        <w:rPr>
          <w:rFonts w:ascii="Times New Roman" w:hAnsi="Times New Roman" w:cs="Times New Roman"/>
          <w:sz w:val="24"/>
          <w:szCs w:val="24"/>
        </w:rPr>
        <w:t>)</w:t>
      </w:r>
      <w:r w:rsidR="008043CF">
        <w:rPr>
          <w:rFonts w:ascii="Times New Roman" w:hAnsi="Times New Roman" w:cs="Times New Roman"/>
          <w:sz w:val="24"/>
          <w:szCs w:val="24"/>
        </w:rPr>
        <w:t>,</w:t>
      </w:r>
      <w:r w:rsidR="008B0C44">
        <w:rPr>
          <w:rFonts w:ascii="Times New Roman" w:hAnsi="Times New Roman" w:cs="Times New Roman"/>
          <w:sz w:val="24"/>
          <w:szCs w:val="24"/>
        </w:rPr>
        <w:t xml:space="preserve"> vagy nem ilyen </w:t>
      </w:r>
      <w:r w:rsidR="008043CF">
        <w:rPr>
          <w:rFonts w:ascii="Times New Roman" w:hAnsi="Times New Roman" w:cs="Times New Roman"/>
          <w:sz w:val="24"/>
          <w:szCs w:val="24"/>
        </w:rPr>
        <w:t>módon</w:t>
      </w:r>
      <w:r w:rsidR="008B0C44">
        <w:rPr>
          <w:rFonts w:ascii="Times New Roman" w:hAnsi="Times New Roman" w:cs="Times New Roman"/>
          <w:sz w:val="24"/>
          <w:szCs w:val="24"/>
        </w:rPr>
        <w:t xml:space="preserve"> (számfüggetlen személyközi hírközlési szolgáltatás</w:t>
      </w:r>
      <w:r w:rsidR="00BB5BA4">
        <w:rPr>
          <w:rFonts w:ascii="Times New Roman" w:hAnsi="Times New Roman" w:cs="Times New Roman"/>
          <w:sz w:val="24"/>
          <w:szCs w:val="24"/>
        </w:rPr>
        <w:t>ok</w:t>
      </w:r>
      <w:r w:rsidR="008B0C44">
        <w:rPr>
          <w:rFonts w:ascii="Times New Roman" w:hAnsi="Times New Roman" w:cs="Times New Roman"/>
          <w:sz w:val="24"/>
          <w:szCs w:val="24"/>
        </w:rPr>
        <w:t xml:space="preserve">). </w:t>
      </w:r>
    </w:p>
    <w:p w14:paraId="7DA681CA" w14:textId="017A7C3F" w:rsidR="00F6453D" w:rsidRDefault="00F6453D" w:rsidP="00FF737E">
      <w:pPr>
        <w:jc w:val="both"/>
        <w:rPr>
          <w:rFonts w:ascii="Times New Roman" w:hAnsi="Times New Roman" w:cs="Times New Roman"/>
          <w:sz w:val="24"/>
          <w:szCs w:val="24"/>
        </w:rPr>
      </w:pPr>
      <w:r>
        <w:rPr>
          <w:rFonts w:ascii="Times New Roman" w:hAnsi="Times New Roman" w:cs="Times New Roman"/>
          <w:sz w:val="24"/>
          <w:szCs w:val="24"/>
        </w:rPr>
        <w:t>Nem újdonság az a fontos körülmény, hogy a</w:t>
      </w:r>
      <w:r w:rsidRPr="00944C07">
        <w:rPr>
          <w:rFonts w:ascii="Times New Roman" w:hAnsi="Times New Roman" w:cs="Times New Roman"/>
          <w:sz w:val="24"/>
          <w:szCs w:val="24"/>
        </w:rPr>
        <w:t xml:space="preserve">nnak érdekében, hogy egy szolgáltatás az elektronikus hírközlési szolgáltatás </w:t>
      </w:r>
      <w:r>
        <w:rPr>
          <w:rFonts w:ascii="Times New Roman" w:hAnsi="Times New Roman" w:cs="Times New Roman"/>
          <w:sz w:val="24"/>
          <w:szCs w:val="24"/>
        </w:rPr>
        <w:t xml:space="preserve">fogalmába </w:t>
      </w:r>
      <w:r w:rsidRPr="00944C07">
        <w:rPr>
          <w:rFonts w:ascii="Times New Roman" w:hAnsi="Times New Roman" w:cs="Times New Roman"/>
          <w:sz w:val="24"/>
          <w:szCs w:val="24"/>
        </w:rPr>
        <w:t>tartozzon, rendes körülmények között díjazás fejében kell nyújtani</w:t>
      </w:r>
      <w:r>
        <w:rPr>
          <w:rFonts w:ascii="Times New Roman" w:hAnsi="Times New Roman" w:cs="Times New Roman"/>
          <w:sz w:val="24"/>
          <w:szCs w:val="24"/>
        </w:rPr>
        <w:t>.</w:t>
      </w:r>
      <w:r w:rsidRPr="00F6453D">
        <w:t xml:space="preserve"> </w:t>
      </w:r>
      <w:r w:rsidRPr="00FC5F5E">
        <w:rPr>
          <w:rFonts w:ascii="Times New Roman" w:hAnsi="Times New Roman" w:cs="Times New Roman"/>
          <w:sz w:val="24"/>
          <w:szCs w:val="24"/>
        </w:rPr>
        <w:t>A Kódex azonban a</w:t>
      </w:r>
      <w:r w:rsidR="00153326">
        <w:rPr>
          <w:rFonts w:ascii="Times New Roman" w:hAnsi="Times New Roman" w:cs="Times New Roman"/>
          <w:sz w:val="24"/>
          <w:szCs w:val="24"/>
        </w:rPr>
        <w:t xml:space="preserve"> digitális gazdaság </w:t>
      </w:r>
      <w:r w:rsidRPr="00FC5F5E">
        <w:rPr>
          <w:rFonts w:ascii="Times New Roman" w:hAnsi="Times New Roman" w:cs="Times New Roman"/>
          <w:sz w:val="24"/>
          <w:szCs w:val="24"/>
        </w:rPr>
        <w:t xml:space="preserve">működési </w:t>
      </w:r>
      <w:r w:rsidR="00153326">
        <w:rPr>
          <w:rFonts w:ascii="Times New Roman" w:hAnsi="Times New Roman" w:cs="Times New Roman"/>
          <w:sz w:val="24"/>
          <w:szCs w:val="24"/>
        </w:rPr>
        <w:t xml:space="preserve">jellemzőivel </w:t>
      </w:r>
      <w:r w:rsidRPr="00FC5F5E">
        <w:rPr>
          <w:rFonts w:ascii="Times New Roman" w:hAnsi="Times New Roman" w:cs="Times New Roman"/>
          <w:sz w:val="24"/>
          <w:szCs w:val="24"/>
        </w:rPr>
        <w:t>összhangban egyértelműsíti, hogy a</w:t>
      </w:r>
      <w:r w:rsidRPr="00F6453D">
        <w:rPr>
          <w:rFonts w:ascii="Times New Roman" w:hAnsi="Times New Roman" w:cs="Times New Roman"/>
          <w:sz w:val="24"/>
          <w:szCs w:val="24"/>
        </w:rPr>
        <w:t xml:space="preserve"> díjazás fogalmába </w:t>
      </w:r>
      <w:r w:rsidR="007A385D">
        <w:rPr>
          <w:rFonts w:ascii="Times New Roman" w:hAnsi="Times New Roman" w:cs="Times New Roman"/>
          <w:sz w:val="24"/>
          <w:szCs w:val="24"/>
        </w:rPr>
        <w:t>beleértendő az a hely</w:t>
      </w:r>
      <w:r w:rsidR="00703E55">
        <w:rPr>
          <w:rFonts w:ascii="Times New Roman" w:hAnsi="Times New Roman" w:cs="Times New Roman"/>
          <w:sz w:val="24"/>
          <w:szCs w:val="24"/>
        </w:rPr>
        <w:t xml:space="preserve">zet, amikor </w:t>
      </w:r>
      <w:r w:rsidR="00703E55" w:rsidRPr="00F6453D">
        <w:rPr>
          <w:rFonts w:ascii="Times New Roman" w:hAnsi="Times New Roman" w:cs="Times New Roman"/>
          <w:sz w:val="24"/>
          <w:szCs w:val="24"/>
        </w:rPr>
        <w:t>a végfelhaszná</w:t>
      </w:r>
      <w:r w:rsidR="00703E55">
        <w:rPr>
          <w:rFonts w:ascii="Times New Roman" w:hAnsi="Times New Roman" w:cs="Times New Roman"/>
          <w:sz w:val="24"/>
          <w:szCs w:val="24"/>
        </w:rPr>
        <w:t>ló a szolgáltatásnyújtó kérelmére</w:t>
      </w:r>
      <w:r w:rsidR="00703E55" w:rsidRPr="00F6453D">
        <w:rPr>
          <w:rFonts w:ascii="Times New Roman" w:hAnsi="Times New Roman" w:cs="Times New Roman"/>
          <w:sz w:val="24"/>
          <w:szCs w:val="24"/>
        </w:rPr>
        <w:t xml:space="preserve"> </w:t>
      </w:r>
      <w:r w:rsidRPr="00F6453D">
        <w:rPr>
          <w:rFonts w:ascii="Times New Roman" w:hAnsi="Times New Roman" w:cs="Times New Roman"/>
          <w:sz w:val="24"/>
          <w:szCs w:val="24"/>
        </w:rPr>
        <w:t>személyes vagy más adatokat bocsát a</w:t>
      </w:r>
      <w:r w:rsidR="00703E55">
        <w:rPr>
          <w:rFonts w:ascii="Times New Roman" w:hAnsi="Times New Roman" w:cs="Times New Roman"/>
          <w:sz w:val="24"/>
          <w:szCs w:val="24"/>
        </w:rPr>
        <w:t>ktívan ez utóbbi rendelkezésére, vagy amikor adatokhoz hozzáférést enged (pl. IP-címekhez, tárolt sütik által</w:t>
      </w:r>
      <w:r w:rsidRPr="00F6453D">
        <w:rPr>
          <w:rFonts w:ascii="Times New Roman" w:hAnsi="Times New Roman" w:cs="Times New Roman"/>
          <w:sz w:val="24"/>
          <w:szCs w:val="24"/>
        </w:rPr>
        <w:t xml:space="preserve"> </w:t>
      </w:r>
      <w:r w:rsidR="00D55B5D">
        <w:rPr>
          <w:rFonts w:ascii="Times New Roman" w:hAnsi="Times New Roman" w:cs="Times New Roman"/>
          <w:sz w:val="24"/>
          <w:szCs w:val="24"/>
        </w:rPr>
        <w:t xml:space="preserve">gyűjtött információkhoz). </w:t>
      </w:r>
      <w:r w:rsidR="00703E55">
        <w:rPr>
          <w:rFonts w:ascii="Times New Roman" w:hAnsi="Times New Roman" w:cs="Times New Roman"/>
          <w:sz w:val="24"/>
          <w:szCs w:val="24"/>
        </w:rPr>
        <w:t>Továbbá a</w:t>
      </w:r>
      <w:r w:rsidR="00703E55" w:rsidRPr="00F6453D">
        <w:rPr>
          <w:rFonts w:ascii="Times New Roman" w:hAnsi="Times New Roman" w:cs="Times New Roman"/>
          <w:sz w:val="24"/>
          <w:szCs w:val="24"/>
        </w:rPr>
        <w:t>z Európai Unió Bíróságának gyakorlatával összhangban díjazásnak minősül az is, ha a szolgáltatónak harmadik fél, nem pedig a szolgáltatás igénybevevője fizet</w:t>
      </w:r>
      <w:r w:rsidR="00703E55">
        <w:rPr>
          <w:rFonts w:ascii="Times New Roman" w:hAnsi="Times New Roman" w:cs="Times New Roman"/>
          <w:sz w:val="24"/>
          <w:szCs w:val="24"/>
        </w:rPr>
        <w:t xml:space="preserve"> (pl. olyan hirdetéseken keresztül, amelyek feltételei annak, hogy a végfelhasználó hozzájusson a szolgáltatáshoz)</w:t>
      </w:r>
      <w:r w:rsidR="00703E55" w:rsidRPr="00F6453D">
        <w:rPr>
          <w:rFonts w:ascii="Times New Roman" w:hAnsi="Times New Roman" w:cs="Times New Roman"/>
          <w:sz w:val="24"/>
          <w:szCs w:val="24"/>
        </w:rPr>
        <w:t>.</w:t>
      </w:r>
      <w:r w:rsidR="00D55B5D">
        <w:rPr>
          <w:rStyle w:val="FootnoteReference"/>
          <w:rFonts w:ascii="Times New Roman" w:hAnsi="Times New Roman" w:cs="Times New Roman"/>
          <w:sz w:val="24"/>
          <w:szCs w:val="24"/>
        </w:rPr>
        <w:footnoteReference w:id="15"/>
      </w:r>
      <w:r w:rsidR="00703E55" w:rsidRPr="00F6453D">
        <w:rPr>
          <w:rFonts w:ascii="Times New Roman" w:hAnsi="Times New Roman" w:cs="Times New Roman"/>
          <w:sz w:val="24"/>
          <w:szCs w:val="24"/>
        </w:rPr>
        <w:t xml:space="preserve"> </w:t>
      </w:r>
    </w:p>
    <w:p w14:paraId="77CE1133" w14:textId="77777777" w:rsidR="00D55B5D" w:rsidRPr="00D55B5D" w:rsidRDefault="00D55B5D" w:rsidP="00FF737E">
      <w:pPr>
        <w:jc w:val="both"/>
        <w:rPr>
          <w:rFonts w:ascii="Times New Roman" w:hAnsi="Times New Roman" w:cs="Times New Roman"/>
          <w:sz w:val="24"/>
          <w:szCs w:val="24"/>
          <w:highlight w:val="yellow"/>
        </w:rPr>
      </w:pPr>
      <w:r w:rsidRPr="00D55B5D">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7E714161" wp14:editId="59E6252B">
                <wp:simplePos x="0" y="0"/>
                <wp:positionH relativeFrom="column">
                  <wp:posOffset>635</wp:posOffset>
                </wp:positionH>
                <wp:positionV relativeFrom="paragraph">
                  <wp:posOffset>4052570</wp:posOffset>
                </wp:positionV>
                <wp:extent cx="3888740" cy="394970"/>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94970"/>
                        </a:xfrm>
                        <a:prstGeom prst="rect">
                          <a:avLst/>
                        </a:prstGeom>
                        <a:solidFill>
                          <a:srgbClr val="FFFFFF"/>
                        </a:solidFill>
                        <a:ln w="9525">
                          <a:noFill/>
                          <a:miter lim="800000"/>
                          <a:headEnd/>
                          <a:tailEnd/>
                        </a:ln>
                      </wps:spPr>
                      <wps:txbx>
                        <w:txbxContent>
                          <w:p w14:paraId="68263C0D" w14:textId="77777777" w:rsidR="00A44122" w:rsidRPr="00D55B5D" w:rsidRDefault="00A44122" w:rsidP="00D55B5D">
                            <w:pPr>
                              <w:rPr>
                                <w:rFonts w:ascii="Times New Roman" w:hAnsi="Times New Roman" w:cs="Times New Roman"/>
                                <w:sz w:val="20"/>
                                <w:szCs w:val="20"/>
                              </w:rPr>
                            </w:pPr>
                            <w:r w:rsidRPr="00D55B5D">
                              <w:rPr>
                                <w:rFonts w:ascii="Times New Roman" w:hAnsi="Times New Roman" w:cs="Times New Roman"/>
                                <w:sz w:val="20"/>
                                <w:szCs w:val="20"/>
                              </w:rPr>
                              <w:t>1.</w:t>
                            </w:r>
                            <w:r>
                              <w:rPr>
                                <w:rFonts w:ascii="Times New Roman" w:hAnsi="Times New Roman" w:cs="Times New Roman"/>
                                <w:sz w:val="20"/>
                                <w:szCs w:val="20"/>
                              </w:rPr>
                              <w:t xml:space="preserve"> </w:t>
                            </w:r>
                            <w:r w:rsidRPr="00D55B5D">
                              <w:rPr>
                                <w:rFonts w:ascii="Times New Roman" w:hAnsi="Times New Roman" w:cs="Times New Roman"/>
                                <w:sz w:val="20"/>
                                <w:szCs w:val="20"/>
                              </w:rPr>
                              <w:t>ábra: Az elektronikus hírközlési szolgáltatások új fogalomrendszere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319.1pt;width:30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" stroked="f">
                <v:textbox style="mso-fit-shape-to-text:t">
                  <w:txbxContent>
                    <w:p w:rsidR="00D55B5D" w:rsidRPr="00D55B5D" w:rsidRDefault="00D55B5D" w:rsidP="00D55B5D">
                      <w:pPr>
                        <w:rPr>
                          <w:rFonts w:ascii="Times New Roman" w:hAnsi="Times New Roman" w:cs="Times New Roman"/>
                          <w:sz w:val="20"/>
                          <w:szCs w:val="20"/>
                        </w:rPr>
                      </w:pPr>
                      <w:r w:rsidRPr="00D55B5D">
                        <w:rPr>
                          <w:rFonts w:ascii="Times New Roman" w:hAnsi="Times New Roman" w:cs="Times New Roman"/>
                          <w:sz w:val="20"/>
                          <w:szCs w:val="20"/>
                        </w:rPr>
                        <w:t>1.</w:t>
                      </w:r>
                      <w:r>
                        <w:rPr>
                          <w:rFonts w:ascii="Times New Roman" w:hAnsi="Times New Roman" w:cs="Times New Roman"/>
                          <w:sz w:val="20"/>
                          <w:szCs w:val="20"/>
                        </w:rPr>
                        <w:t xml:space="preserve"> </w:t>
                      </w:r>
                      <w:r w:rsidRPr="00D55B5D">
                        <w:rPr>
                          <w:rFonts w:ascii="Times New Roman" w:hAnsi="Times New Roman" w:cs="Times New Roman"/>
                          <w:sz w:val="20"/>
                          <w:szCs w:val="20"/>
                        </w:rPr>
                        <w:t>ábra: Az elektronikus hírközlési szolgáltatások új fogalomrendszere</w:t>
                      </w:r>
                    </w:p>
                  </w:txbxContent>
                </v:textbox>
              </v:shape>
            </w:pict>
          </mc:Fallback>
        </mc:AlternateContent>
      </w:r>
      <w:r w:rsidR="002A4518">
        <w:rPr>
          <w:rFonts w:ascii="Times New Roman" w:hAnsi="Times New Roman" w:cs="Times New Roman"/>
          <w:noProof/>
          <w:sz w:val="24"/>
          <w:szCs w:val="24"/>
          <w:lang w:val="en-US"/>
        </w:rPr>
        <w:drawing>
          <wp:inline distT="0" distB="0" distL="0" distR="0" wp14:anchorId="6D2CC7FF" wp14:editId="6A01789F">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Z_definíciók.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776C43E" w14:textId="78EBC7C7" w:rsidR="00486238" w:rsidRPr="00486238" w:rsidRDefault="00486238" w:rsidP="00FF737E">
      <w:pPr>
        <w:jc w:val="both"/>
        <w:rPr>
          <w:rFonts w:ascii="Times New Roman" w:hAnsi="Times New Roman" w:cs="Times New Roman"/>
          <w:sz w:val="24"/>
          <w:szCs w:val="24"/>
        </w:rPr>
      </w:pPr>
      <w:r w:rsidRPr="00486238">
        <w:rPr>
          <w:rFonts w:ascii="Times New Roman" w:hAnsi="Times New Roman" w:cs="Times New Roman"/>
          <w:sz w:val="24"/>
          <w:szCs w:val="24"/>
        </w:rPr>
        <w:t>A végfelhasználók jogaira vonatkozó követelmények nem egyenlő mértékben ter</w:t>
      </w:r>
      <w:r w:rsidR="007A385D">
        <w:rPr>
          <w:rFonts w:ascii="Times New Roman" w:hAnsi="Times New Roman" w:cs="Times New Roman"/>
          <w:sz w:val="24"/>
          <w:szCs w:val="24"/>
        </w:rPr>
        <w:t>jednek ki az egyes szolgáltatás</w:t>
      </w:r>
      <w:r w:rsidRPr="00486238">
        <w:rPr>
          <w:rFonts w:ascii="Times New Roman" w:hAnsi="Times New Roman" w:cs="Times New Roman"/>
          <w:sz w:val="24"/>
          <w:szCs w:val="24"/>
        </w:rPr>
        <w:t>típusokra: összességében megállapítható, hogy a legtöbb előírás a számfüggő személyközi hírközlési szolgáltatásokat</w:t>
      </w:r>
      <w:r w:rsidR="00022DC5">
        <w:rPr>
          <w:rFonts w:ascii="Times New Roman" w:hAnsi="Times New Roman" w:cs="Times New Roman"/>
          <w:sz w:val="24"/>
          <w:szCs w:val="24"/>
        </w:rPr>
        <w:t>,</w:t>
      </w:r>
      <w:r w:rsidRPr="00486238">
        <w:rPr>
          <w:rFonts w:ascii="Times New Roman" w:hAnsi="Times New Roman" w:cs="Times New Roman"/>
          <w:sz w:val="24"/>
          <w:szCs w:val="24"/>
        </w:rPr>
        <w:t xml:space="preserve"> illetve az internet-hozzáférési szolgáltatás</w:t>
      </w:r>
      <w:r>
        <w:rPr>
          <w:rFonts w:ascii="Times New Roman" w:hAnsi="Times New Roman" w:cs="Times New Roman"/>
          <w:sz w:val="24"/>
          <w:szCs w:val="24"/>
        </w:rPr>
        <w:t>t</w:t>
      </w:r>
      <w:r w:rsidRPr="00486238">
        <w:rPr>
          <w:rFonts w:ascii="Times New Roman" w:hAnsi="Times New Roman" w:cs="Times New Roman"/>
          <w:sz w:val="24"/>
          <w:szCs w:val="24"/>
        </w:rPr>
        <w:t xml:space="preserve"> </w:t>
      </w:r>
      <w:r>
        <w:rPr>
          <w:rFonts w:ascii="Times New Roman" w:hAnsi="Times New Roman" w:cs="Times New Roman"/>
          <w:sz w:val="24"/>
          <w:szCs w:val="24"/>
        </w:rPr>
        <w:t>érinti,</w:t>
      </w:r>
      <w:r w:rsidR="00C97A2C">
        <w:rPr>
          <w:rFonts w:ascii="Times New Roman" w:hAnsi="Times New Roman" w:cs="Times New Roman"/>
          <w:sz w:val="24"/>
          <w:szCs w:val="24"/>
        </w:rPr>
        <w:t xml:space="preserve"> legkevésbé pedig</w:t>
      </w:r>
      <w:r w:rsidRPr="00486238">
        <w:rPr>
          <w:rFonts w:ascii="Times New Roman" w:hAnsi="Times New Roman" w:cs="Times New Roman"/>
          <w:sz w:val="24"/>
          <w:szCs w:val="24"/>
        </w:rPr>
        <w:t xml:space="preserve"> az M2M jelátviteli</w:t>
      </w:r>
      <w:r w:rsidR="00022DC5">
        <w:rPr>
          <w:rFonts w:ascii="Times New Roman" w:hAnsi="Times New Roman" w:cs="Times New Roman"/>
          <w:sz w:val="24"/>
          <w:szCs w:val="24"/>
        </w:rPr>
        <w:t>,</w:t>
      </w:r>
      <w:r w:rsidRPr="00486238">
        <w:rPr>
          <w:rFonts w:ascii="Times New Roman" w:hAnsi="Times New Roman" w:cs="Times New Roman"/>
          <w:sz w:val="24"/>
          <w:szCs w:val="24"/>
        </w:rPr>
        <w:t xml:space="preserve"> illetve a számfüggetlen személy</w:t>
      </w:r>
      <w:r>
        <w:rPr>
          <w:rFonts w:ascii="Times New Roman" w:hAnsi="Times New Roman" w:cs="Times New Roman"/>
          <w:sz w:val="24"/>
          <w:szCs w:val="24"/>
        </w:rPr>
        <w:t>közi hírközlési szolgáltatásokat terheli</w:t>
      </w:r>
      <w:r w:rsidRPr="00486238">
        <w:rPr>
          <w:rFonts w:ascii="Times New Roman" w:hAnsi="Times New Roman" w:cs="Times New Roman"/>
          <w:sz w:val="24"/>
          <w:szCs w:val="24"/>
        </w:rPr>
        <w:t>.</w:t>
      </w:r>
    </w:p>
    <w:p w14:paraId="62535BF5" w14:textId="77777777" w:rsidR="00486238" w:rsidRDefault="00486238" w:rsidP="00FF737E">
      <w:pPr>
        <w:jc w:val="both"/>
        <w:rPr>
          <w:rFonts w:ascii="Times New Roman" w:hAnsi="Times New Roman" w:cs="Times New Roman"/>
          <w:b/>
          <w:sz w:val="24"/>
          <w:szCs w:val="24"/>
        </w:rPr>
      </w:pPr>
    </w:p>
    <w:p w14:paraId="32FBB340" w14:textId="77777777" w:rsidR="00FC5F5E" w:rsidRPr="00D71053" w:rsidRDefault="00D71053" w:rsidP="00FF737E">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2.3. </w:t>
      </w:r>
      <w:r w:rsidR="00FC5F5E" w:rsidRPr="00D71053">
        <w:rPr>
          <w:rFonts w:ascii="Times New Roman" w:hAnsi="Times New Roman" w:cs="Times New Roman"/>
          <w:b/>
          <w:sz w:val="24"/>
          <w:szCs w:val="24"/>
        </w:rPr>
        <w:t>A harmonizáció szintje</w:t>
      </w:r>
    </w:p>
    <w:p w14:paraId="7D1871A4" w14:textId="7BF85E30" w:rsidR="00E861A2" w:rsidRDefault="009C2DC1" w:rsidP="000B400C">
      <w:pPr>
        <w:jc w:val="both"/>
        <w:rPr>
          <w:rFonts w:ascii="Times New Roman" w:hAnsi="Times New Roman" w:cs="Times New Roman"/>
          <w:sz w:val="24"/>
          <w:szCs w:val="24"/>
        </w:rPr>
      </w:pPr>
      <w:r>
        <w:rPr>
          <w:rFonts w:ascii="Times New Roman" w:hAnsi="Times New Roman" w:cs="Times New Roman"/>
          <w:sz w:val="24"/>
          <w:szCs w:val="24"/>
        </w:rPr>
        <w:t>A Hírközlési Kódexet megelőzően hatályban lévő keretszabályozás</w:t>
      </w:r>
      <w:r w:rsidRPr="00944C07">
        <w:rPr>
          <w:rFonts w:ascii="Times New Roman" w:hAnsi="Times New Roman" w:cs="Times New Roman"/>
          <w:sz w:val="24"/>
          <w:szCs w:val="24"/>
        </w:rPr>
        <w:t xml:space="preserve"> </w:t>
      </w:r>
      <w:r>
        <w:rPr>
          <w:rFonts w:ascii="Times New Roman" w:hAnsi="Times New Roman" w:cs="Times New Roman"/>
          <w:sz w:val="24"/>
          <w:szCs w:val="24"/>
        </w:rPr>
        <w:t>fogyasztóvédelmi szabályai a minimum harmonizáción alapultak, tehát a tagállamok fenntarthattak és bevezethettek nemzeti jogukba</w:t>
      </w:r>
      <w:r w:rsidR="006C5B64">
        <w:rPr>
          <w:rFonts w:ascii="Times New Roman" w:hAnsi="Times New Roman" w:cs="Times New Roman"/>
          <w:sz w:val="24"/>
          <w:szCs w:val="24"/>
        </w:rPr>
        <w:t>n</w:t>
      </w:r>
      <w:r>
        <w:rPr>
          <w:rFonts w:ascii="Times New Roman" w:hAnsi="Times New Roman" w:cs="Times New Roman"/>
          <w:sz w:val="24"/>
          <w:szCs w:val="24"/>
        </w:rPr>
        <w:t xml:space="preserve"> a végfelhasználók védelmével </w:t>
      </w:r>
      <w:r w:rsidRPr="009C2DC1">
        <w:rPr>
          <w:rFonts w:ascii="Times New Roman" w:hAnsi="Times New Roman" w:cs="Times New Roman"/>
          <w:sz w:val="24"/>
          <w:szCs w:val="24"/>
        </w:rPr>
        <w:t xml:space="preserve">kapcsolatos </w:t>
      </w:r>
      <w:r>
        <w:rPr>
          <w:rFonts w:ascii="Times New Roman" w:hAnsi="Times New Roman" w:cs="Times New Roman"/>
          <w:sz w:val="24"/>
          <w:szCs w:val="24"/>
        </w:rPr>
        <w:t>szigorúbb rendelkezéseket.</w:t>
      </w:r>
      <w:r w:rsidR="00042437">
        <w:rPr>
          <w:rFonts w:ascii="Times New Roman" w:hAnsi="Times New Roman" w:cs="Times New Roman"/>
          <w:sz w:val="24"/>
          <w:szCs w:val="24"/>
        </w:rPr>
        <w:t xml:space="preserve"> A keretszabályozás felülvizsgálatakor az Európai Bizottság </w:t>
      </w:r>
      <w:r>
        <w:rPr>
          <w:rFonts w:ascii="Times New Roman" w:hAnsi="Times New Roman" w:cs="Times New Roman"/>
          <w:sz w:val="24"/>
          <w:szCs w:val="24"/>
        </w:rPr>
        <w:t xml:space="preserve">fontos problémaként azonosította, hogy a </w:t>
      </w:r>
      <w:r w:rsidR="00944C07" w:rsidRPr="00944C07">
        <w:rPr>
          <w:rFonts w:ascii="Times New Roman" w:hAnsi="Times New Roman" w:cs="Times New Roman"/>
          <w:sz w:val="24"/>
          <w:szCs w:val="24"/>
        </w:rPr>
        <w:t>végfelhasználók védelmével kapcsolatos szabályok eltérő végrehajtása miatt</w:t>
      </w:r>
      <w:r w:rsidR="00944C07">
        <w:rPr>
          <w:rFonts w:ascii="Times New Roman" w:hAnsi="Times New Roman" w:cs="Times New Roman"/>
          <w:sz w:val="24"/>
          <w:szCs w:val="24"/>
        </w:rPr>
        <w:t xml:space="preserve"> jelentős belső piaci akadályok </w:t>
      </w:r>
      <w:r w:rsidR="00944C07" w:rsidRPr="00944C07">
        <w:rPr>
          <w:rFonts w:ascii="Times New Roman" w:hAnsi="Times New Roman" w:cs="Times New Roman"/>
          <w:sz w:val="24"/>
          <w:szCs w:val="24"/>
        </w:rPr>
        <w:t>keletkeztek</w:t>
      </w:r>
      <w:r w:rsidR="00423E8F">
        <w:rPr>
          <w:rFonts w:ascii="Times New Roman" w:hAnsi="Times New Roman" w:cs="Times New Roman"/>
          <w:sz w:val="24"/>
          <w:szCs w:val="24"/>
        </w:rPr>
        <w:t>,</w:t>
      </w:r>
      <w:r w:rsidR="00042437">
        <w:rPr>
          <w:rFonts w:ascii="Times New Roman" w:hAnsi="Times New Roman" w:cs="Times New Roman"/>
          <w:sz w:val="24"/>
          <w:szCs w:val="24"/>
        </w:rPr>
        <w:t xml:space="preserve"> és számos érintett osztotta azt a véleményt</w:t>
      </w:r>
      <w:r w:rsidR="00D55B5D">
        <w:rPr>
          <w:rFonts w:ascii="Times New Roman" w:hAnsi="Times New Roman" w:cs="Times New Roman"/>
          <w:sz w:val="24"/>
          <w:szCs w:val="24"/>
        </w:rPr>
        <w:t>,</w:t>
      </w:r>
      <w:r w:rsidR="00042437">
        <w:rPr>
          <w:rFonts w:ascii="Times New Roman" w:hAnsi="Times New Roman" w:cs="Times New Roman"/>
          <w:sz w:val="24"/>
          <w:szCs w:val="24"/>
        </w:rPr>
        <w:t xml:space="preserve"> hogy a </w:t>
      </w:r>
      <w:r w:rsidR="00042437" w:rsidRPr="00944C07">
        <w:rPr>
          <w:rFonts w:ascii="Times New Roman" w:hAnsi="Times New Roman" w:cs="Times New Roman"/>
          <w:sz w:val="24"/>
          <w:szCs w:val="24"/>
        </w:rPr>
        <w:t>végfelha</w:t>
      </w:r>
      <w:r w:rsidR="00042437">
        <w:rPr>
          <w:rFonts w:ascii="Times New Roman" w:hAnsi="Times New Roman" w:cs="Times New Roman"/>
          <w:sz w:val="24"/>
          <w:szCs w:val="24"/>
        </w:rPr>
        <w:t xml:space="preserve">sználói jogok teljes </w:t>
      </w:r>
      <w:r w:rsidR="00042437" w:rsidRPr="00944C07">
        <w:rPr>
          <w:rFonts w:ascii="Times New Roman" w:hAnsi="Times New Roman" w:cs="Times New Roman"/>
          <w:sz w:val="24"/>
          <w:szCs w:val="24"/>
        </w:rPr>
        <w:t>harmonizációja jelentősen javítaná a jogbiztonságot</w:t>
      </w:r>
      <w:r w:rsidR="006C5B64">
        <w:rPr>
          <w:rFonts w:ascii="Times New Roman" w:hAnsi="Times New Roman" w:cs="Times New Roman"/>
          <w:sz w:val="24"/>
          <w:szCs w:val="24"/>
        </w:rPr>
        <w:t>,</w:t>
      </w:r>
      <w:r w:rsidR="00042437" w:rsidRPr="00944C07">
        <w:rPr>
          <w:rFonts w:ascii="Times New Roman" w:hAnsi="Times New Roman" w:cs="Times New Roman"/>
          <w:sz w:val="24"/>
          <w:szCs w:val="24"/>
        </w:rPr>
        <w:t xml:space="preserve"> mind a végfelhasználók, mind az elektronikus </w:t>
      </w:r>
      <w:r w:rsidR="00042437">
        <w:rPr>
          <w:rFonts w:ascii="Times New Roman" w:hAnsi="Times New Roman" w:cs="Times New Roman"/>
          <w:sz w:val="24"/>
          <w:szCs w:val="24"/>
        </w:rPr>
        <w:t xml:space="preserve">hírközlési </w:t>
      </w:r>
      <w:r w:rsidR="00D55B5D">
        <w:rPr>
          <w:rFonts w:ascii="Times New Roman" w:hAnsi="Times New Roman" w:cs="Times New Roman"/>
          <w:sz w:val="24"/>
          <w:szCs w:val="24"/>
        </w:rPr>
        <w:t xml:space="preserve">szolgáltatók szempontjából, </w:t>
      </w:r>
      <w:r w:rsidR="00042437" w:rsidRPr="00944C07">
        <w:rPr>
          <w:rFonts w:ascii="Times New Roman" w:hAnsi="Times New Roman" w:cs="Times New Roman"/>
          <w:sz w:val="24"/>
          <w:szCs w:val="24"/>
        </w:rPr>
        <w:t xml:space="preserve">egyúttal jelentősen csökkentené a piacra </w:t>
      </w:r>
      <w:r w:rsidR="00042437">
        <w:rPr>
          <w:rFonts w:ascii="Times New Roman" w:hAnsi="Times New Roman" w:cs="Times New Roman"/>
          <w:sz w:val="24"/>
          <w:szCs w:val="24"/>
        </w:rPr>
        <w:t>lépés akadályait</w:t>
      </w:r>
      <w:r w:rsidR="006C5B64">
        <w:rPr>
          <w:rFonts w:ascii="Times New Roman" w:hAnsi="Times New Roman" w:cs="Times New Roman"/>
          <w:sz w:val="24"/>
          <w:szCs w:val="24"/>
        </w:rPr>
        <w:t>,</w:t>
      </w:r>
      <w:r w:rsidR="00042437">
        <w:rPr>
          <w:rFonts w:ascii="Times New Roman" w:hAnsi="Times New Roman" w:cs="Times New Roman"/>
          <w:sz w:val="24"/>
          <w:szCs w:val="24"/>
        </w:rPr>
        <w:t xml:space="preserve"> és a szabályok </w:t>
      </w:r>
      <w:r w:rsidR="00042437" w:rsidRPr="00944C07">
        <w:rPr>
          <w:rFonts w:ascii="Times New Roman" w:hAnsi="Times New Roman" w:cs="Times New Roman"/>
          <w:sz w:val="24"/>
          <w:szCs w:val="24"/>
        </w:rPr>
        <w:t>fragmentációjából eredő, szükségtelen megfelelési terhet</w:t>
      </w:r>
      <w:r w:rsidR="00042437">
        <w:rPr>
          <w:rFonts w:ascii="Times New Roman" w:hAnsi="Times New Roman" w:cs="Times New Roman"/>
          <w:sz w:val="24"/>
          <w:szCs w:val="24"/>
        </w:rPr>
        <w:t>.</w:t>
      </w:r>
      <w:r w:rsidR="00EA1E59">
        <w:rPr>
          <w:rStyle w:val="FootnoteReference"/>
          <w:rFonts w:ascii="Times New Roman" w:hAnsi="Times New Roman" w:cs="Times New Roman"/>
          <w:sz w:val="24"/>
          <w:szCs w:val="24"/>
        </w:rPr>
        <w:footnoteReference w:id="16"/>
      </w:r>
      <w:r w:rsidR="00042437">
        <w:rPr>
          <w:rFonts w:ascii="Times New Roman" w:hAnsi="Times New Roman" w:cs="Times New Roman"/>
          <w:sz w:val="24"/>
          <w:szCs w:val="24"/>
        </w:rPr>
        <w:t xml:space="preserve"> A teljes harmonizáció </w:t>
      </w:r>
      <w:r w:rsidR="00042437">
        <w:rPr>
          <w:rFonts w:ascii="Times New Roman" w:hAnsi="Times New Roman" w:cs="Times New Roman"/>
          <w:sz w:val="24"/>
          <w:szCs w:val="24"/>
        </w:rPr>
        <w:lastRenderedPageBreak/>
        <w:t>megvalósítása legnagyobb akadályának az bizonyult, hogy több tagállam azzal érvelt</w:t>
      </w:r>
      <w:r w:rsidR="006C5B64">
        <w:rPr>
          <w:rFonts w:ascii="Times New Roman" w:hAnsi="Times New Roman" w:cs="Times New Roman"/>
          <w:sz w:val="24"/>
          <w:szCs w:val="24"/>
        </w:rPr>
        <w:t>,</w:t>
      </w:r>
      <w:r w:rsidR="00042437">
        <w:rPr>
          <w:rFonts w:ascii="Times New Roman" w:hAnsi="Times New Roman" w:cs="Times New Roman"/>
          <w:sz w:val="24"/>
          <w:szCs w:val="24"/>
        </w:rPr>
        <w:t xml:space="preserve"> így csökken majd a végfelhasználók számára általuk biztosított védelem jelenlegi szintje</w:t>
      </w:r>
      <w:r w:rsidR="006C5B64">
        <w:rPr>
          <w:rFonts w:ascii="Times New Roman" w:hAnsi="Times New Roman" w:cs="Times New Roman"/>
          <w:sz w:val="24"/>
          <w:szCs w:val="24"/>
        </w:rPr>
        <w:t>,</w:t>
      </w:r>
      <w:r w:rsidR="00042437">
        <w:rPr>
          <w:rFonts w:ascii="Times New Roman" w:hAnsi="Times New Roman" w:cs="Times New Roman"/>
          <w:sz w:val="24"/>
          <w:szCs w:val="24"/>
        </w:rPr>
        <w:t xml:space="preserve"> </w:t>
      </w:r>
      <w:r w:rsidR="000B400C">
        <w:rPr>
          <w:rFonts w:ascii="Times New Roman" w:hAnsi="Times New Roman" w:cs="Times New Roman"/>
          <w:sz w:val="24"/>
          <w:szCs w:val="24"/>
        </w:rPr>
        <w:t>ezért</w:t>
      </w:r>
      <w:r w:rsidR="00042437">
        <w:rPr>
          <w:rFonts w:ascii="Times New Roman" w:hAnsi="Times New Roman" w:cs="Times New Roman"/>
          <w:sz w:val="24"/>
          <w:szCs w:val="24"/>
        </w:rPr>
        <w:t xml:space="preserve"> a kérdés az új szabályozással kapcsolatos </w:t>
      </w:r>
      <w:r w:rsidR="000B400C">
        <w:rPr>
          <w:rFonts w:ascii="Times New Roman" w:hAnsi="Times New Roman" w:cs="Times New Roman"/>
          <w:sz w:val="24"/>
          <w:szCs w:val="24"/>
        </w:rPr>
        <w:t xml:space="preserve">viták és tárgyalások </w:t>
      </w:r>
      <w:r w:rsidR="00042437">
        <w:rPr>
          <w:rFonts w:ascii="Times New Roman" w:hAnsi="Times New Roman" w:cs="Times New Roman"/>
          <w:sz w:val="24"/>
          <w:szCs w:val="24"/>
        </w:rPr>
        <w:t>végéig nyitva maradt. Végül az EU-ban jellemző kompromisszumos megoldás született:</w:t>
      </w:r>
      <w:r w:rsidR="00E861A2">
        <w:rPr>
          <w:rFonts w:ascii="Times New Roman" w:hAnsi="Times New Roman" w:cs="Times New Roman"/>
          <w:sz w:val="24"/>
          <w:szCs w:val="24"/>
        </w:rPr>
        <w:t xml:space="preserve"> az ún. teljes, de kalibrált harmonizáció. Ez azt jelenti, hogy fő szabályként ténylegesen úgy rendelkezik a Kódex, hogy</w:t>
      </w:r>
      <w:r w:rsidR="00E861A2" w:rsidRPr="00E861A2">
        <w:t xml:space="preserve"> </w:t>
      </w:r>
      <w:r w:rsidR="00E861A2">
        <w:rPr>
          <w:rFonts w:ascii="Times New Roman" w:hAnsi="Times New Roman" w:cs="Times New Roman"/>
          <w:sz w:val="24"/>
          <w:szCs w:val="24"/>
        </w:rPr>
        <w:t>a</w:t>
      </w:r>
      <w:r w:rsidR="00E861A2" w:rsidRPr="00E861A2">
        <w:rPr>
          <w:rFonts w:ascii="Times New Roman" w:hAnsi="Times New Roman" w:cs="Times New Roman"/>
          <w:sz w:val="24"/>
          <w:szCs w:val="24"/>
        </w:rPr>
        <w:t xml:space="preserve"> tagállamok nem tarthatnak fenn és nem vezethetnek be nemzeti jogukb</w:t>
      </w:r>
      <w:r w:rsidR="00E861A2">
        <w:rPr>
          <w:rFonts w:ascii="Times New Roman" w:hAnsi="Times New Roman" w:cs="Times New Roman"/>
          <w:sz w:val="24"/>
          <w:szCs w:val="24"/>
        </w:rPr>
        <w:t xml:space="preserve">an a végfelhasználók védelmével </w:t>
      </w:r>
      <w:r w:rsidR="00E861A2" w:rsidRPr="00E861A2">
        <w:rPr>
          <w:rFonts w:ascii="Times New Roman" w:hAnsi="Times New Roman" w:cs="Times New Roman"/>
          <w:sz w:val="24"/>
          <w:szCs w:val="24"/>
        </w:rPr>
        <w:t>kapcsolatos</w:t>
      </w:r>
      <w:r w:rsidR="00E861A2">
        <w:rPr>
          <w:rFonts w:ascii="Times New Roman" w:hAnsi="Times New Roman" w:cs="Times New Roman"/>
          <w:sz w:val="24"/>
          <w:szCs w:val="24"/>
        </w:rPr>
        <w:t xml:space="preserve"> eltérő</w:t>
      </w:r>
      <w:r w:rsidR="00E861A2" w:rsidRPr="00E861A2">
        <w:rPr>
          <w:rFonts w:ascii="Times New Roman" w:hAnsi="Times New Roman" w:cs="Times New Roman"/>
          <w:sz w:val="24"/>
          <w:szCs w:val="24"/>
        </w:rPr>
        <w:t xml:space="preserve"> rendelkezéseket, ideértve az eltérő szintű védel</w:t>
      </w:r>
      <w:r w:rsidR="00E861A2">
        <w:rPr>
          <w:rFonts w:ascii="Times New Roman" w:hAnsi="Times New Roman" w:cs="Times New Roman"/>
          <w:sz w:val="24"/>
          <w:szCs w:val="24"/>
        </w:rPr>
        <w:t xml:space="preserve">met biztosító </w:t>
      </w:r>
      <w:r w:rsidR="00E861A2" w:rsidRPr="00E861A2">
        <w:rPr>
          <w:rFonts w:ascii="Times New Roman" w:hAnsi="Times New Roman" w:cs="Times New Roman"/>
          <w:sz w:val="24"/>
          <w:szCs w:val="24"/>
        </w:rPr>
        <w:t xml:space="preserve">szigorúbb vagy </w:t>
      </w:r>
      <w:r w:rsidR="00E861A2">
        <w:rPr>
          <w:rFonts w:ascii="Times New Roman" w:hAnsi="Times New Roman" w:cs="Times New Roman"/>
          <w:sz w:val="24"/>
          <w:szCs w:val="24"/>
        </w:rPr>
        <w:t>kevésbé szigorú rendelkezéseket. Azonban mégis van erre lehetőségük, amennyiben a Kódex így rendelkezik</w:t>
      </w:r>
      <w:r w:rsidR="006C5B64">
        <w:rPr>
          <w:rFonts w:ascii="Times New Roman" w:hAnsi="Times New Roman" w:cs="Times New Roman"/>
          <w:sz w:val="24"/>
          <w:szCs w:val="24"/>
        </w:rPr>
        <w:t>,</w:t>
      </w:r>
      <w:r w:rsidR="00E861A2">
        <w:rPr>
          <w:rFonts w:ascii="Times New Roman" w:hAnsi="Times New Roman" w:cs="Times New Roman"/>
          <w:sz w:val="24"/>
          <w:szCs w:val="24"/>
        </w:rPr>
        <w:t xml:space="preserve"> és számos helyen található ilyen kivételszabály. Másrészt megadja az ettől való eltérés lehetőségét a Kódex egy átmeneti időszakra is, mert úgy rendelkezik, hogy </w:t>
      </w:r>
      <w:r w:rsidR="00E861A2" w:rsidRPr="00E861A2">
        <w:rPr>
          <w:rFonts w:ascii="Times New Roman" w:hAnsi="Times New Roman" w:cs="Times New Roman"/>
          <w:sz w:val="24"/>
          <w:szCs w:val="24"/>
        </w:rPr>
        <w:t>2021. december 21-ig a tagállamok továbbra is alkalmazhat</w:t>
      </w:r>
      <w:r w:rsidR="00E861A2">
        <w:rPr>
          <w:rFonts w:ascii="Times New Roman" w:hAnsi="Times New Roman" w:cs="Times New Roman"/>
          <w:sz w:val="24"/>
          <w:szCs w:val="24"/>
        </w:rPr>
        <w:t xml:space="preserve">nak </w:t>
      </w:r>
      <w:r w:rsidR="00E861A2" w:rsidRPr="00E861A2">
        <w:rPr>
          <w:rFonts w:ascii="Times New Roman" w:hAnsi="Times New Roman" w:cs="Times New Roman"/>
          <w:sz w:val="24"/>
          <w:szCs w:val="24"/>
        </w:rPr>
        <w:t>eltérő, szigorúbb nemzeti fogyasztóvédelmi rendelkezéseket, amennyiben ezek a rendelk</w:t>
      </w:r>
      <w:r w:rsidR="00E861A2">
        <w:rPr>
          <w:rFonts w:ascii="Times New Roman" w:hAnsi="Times New Roman" w:cs="Times New Roman"/>
          <w:sz w:val="24"/>
          <w:szCs w:val="24"/>
        </w:rPr>
        <w:t xml:space="preserve">ezések már 2018. december 20-án </w:t>
      </w:r>
      <w:r w:rsidR="00E861A2" w:rsidRPr="00E861A2">
        <w:rPr>
          <w:rFonts w:ascii="Times New Roman" w:hAnsi="Times New Roman" w:cs="Times New Roman"/>
          <w:sz w:val="24"/>
          <w:szCs w:val="24"/>
        </w:rPr>
        <w:t>hatályban voltak, és a belső piacot érintő, ezekből eredő bármilyen korlátozás arányos a fogyasztóvédelem céljával.</w:t>
      </w:r>
      <w:r w:rsidR="000B400C" w:rsidRPr="000B400C">
        <w:t xml:space="preserve"> </w:t>
      </w:r>
      <w:r w:rsidR="000B400C">
        <w:rPr>
          <w:rFonts w:ascii="Times New Roman" w:hAnsi="Times New Roman" w:cs="Times New Roman"/>
          <w:sz w:val="24"/>
          <w:szCs w:val="24"/>
        </w:rPr>
        <w:t xml:space="preserve">A </w:t>
      </w:r>
      <w:r w:rsidR="000B400C" w:rsidRPr="000B400C">
        <w:rPr>
          <w:rFonts w:ascii="Times New Roman" w:hAnsi="Times New Roman" w:cs="Times New Roman"/>
          <w:sz w:val="24"/>
          <w:szCs w:val="24"/>
        </w:rPr>
        <w:t xml:space="preserve">tagállamok emellett </w:t>
      </w:r>
      <w:r w:rsidR="000B400C">
        <w:rPr>
          <w:rFonts w:ascii="Times New Roman" w:hAnsi="Times New Roman" w:cs="Times New Roman"/>
          <w:sz w:val="24"/>
          <w:szCs w:val="24"/>
        </w:rPr>
        <w:t>természetesen fenntarth</w:t>
      </w:r>
      <w:r w:rsidR="000B400C" w:rsidRPr="000B400C">
        <w:rPr>
          <w:rFonts w:ascii="Times New Roman" w:hAnsi="Times New Roman" w:cs="Times New Roman"/>
          <w:sz w:val="24"/>
          <w:szCs w:val="24"/>
        </w:rPr>
        <w:t>a</w:t>
      </w:r>
      <w:r w:rsidR="000B400C">
        <w:rPr>
          <w:rFonts w:ascii="Times New Roman" w:hAnsi="Times New Roman" w:cs="Times New Roman"/>
          <w:sz w:val="24"/>
          <w:szCs w:val="24"/>
        </w:rPr>
        <w:t>tnak vagy bevezethetnek</w:t>
      </w:r>
      <w:r w:rsidR="000B400C" w:rsidRPr="000B400C">
        <w:rPr>
          <w:rFonts w:ascii="Times New Roman" w:hAnsi="Times New Roman" w:cs="Times New Roman"/>
          <w:sz w:val="24"/>
          <w:szCs w:val="24"/>
        </w:rPr>
        <w:t xml:space="preserve"> nemzeti </w:t>
      </w:r>
      <w:r w:rsidR="000B400C">
        <w:rPr>
          <w:rFonts w:ascii="Times New Roman" w:hAnsi="Times New Roman" w:cs="Times New Roman"/>
          <w:sz w:val="24"/>
          <w:szCs w:val="24"/>
        </w:rPr>
        <w:t xml:space="preserve">normákat a Kódex </w:t>
      </w:r>
      <w:r w:rsidR="000B400C" w:rsidRPr="000B400C">
        <w:rPr>
          <w:rFonts w:ascii="Times New Roman" w:hAnsi="Times New Roman" w:cs="Times New Roman"/>
          <w:sz w:val="24"/>
          <w:szCs w:val="24"/>
        </w:rPr>
        <w:t xml:space="preserve">által kifejezetten nem szabályozott kérdések tekintetében, különösen </w:t>
      </w:r>
      <w:r w:rsidR="000B400C">
        <w:rPr>
          <w:rFonts w:ascii="Times New Roman" w:hAnsi="Times New Roman" w:cs="Times New Roman"/>
          <w:sz w:val="24"/>
          <w:szCs w:val="24"/>
        </w:rPr>
        <w:t xml:space="preserve">pedig a hírközlési szolgáltatások folyamatos fejlődésével összefüggésbe hozható </w:t>
      </w:r>
      <w:r w:rsidR="000B400C" w:rsidRPr="000B400C">
        <w:rPr>
          <w:rFonts w:ascii="Times New Roman" w:hAnsi="Times New Roman" w:cs="Times New Roman"/>
          <w:sz w:val="24"/>
          <w:szCs w:val="24"/>
        </w:rPr>
        <w:t>újonnan</w:t>
      </w:r>
      <w:r w:rsidR="000B400C">
        <w:rPr>
          <w:rFonts w:ascii="Times New Roman" w:hAnsi="Times New Roman" w:cs="Times New Roman"/>
          <w:sz w:val="24"/>
          <w:szCs w:val="24"/>
        </w:rPr>
        <w:t xml:space="preserve"> </w:t>
      </w:r>
      <w:r w:rsidR="000B400C" w:rsidRPr="000B400C">
        <w:rPr>
          <w:rFonts w:ascii="Times New Roman" w:hAnsi="Times New Roman" w:cs="Times New Roman"/>
          <w:sz w:val="24"/>
          <w:szCs w:val="24"/>
        </w:rPr>
        <w:t>felmerü</w:t>
      </w:r>
      <w:r w:rsidR="000B400C">
        <w:rPr>
          <w:rFonts w:ascii="Times New Roman" w:hAnsi="Times New Roman" w:cs="Times New Roman"/>
          <w:sz w:val="24"/>
          <w:szCs w:val="24"/>
        </w:rPr>
        <w:t>lő kérdések kezelése érdekében.</w:t>
      </w:r>
    </w:p>
    <w:p w14:paraId="2DCCA727" w14:textId="3E737961" w:rsidR="00042437" w:rsidRDefault="00903FB9" w:rsidP="00944C07">
      <w:pPr>
        <w:jc w:val="both"/>
        <w:rPr>
          <w:rFonts w:ascii="Times New Roman" w:hAnsi="Times New Roman" w:cs="Times New Roman"/>
          <w:sz w:val="24"/>
          <w:szCs w:val="24"/>
        </w:rPr>
      </w:pPr>
      <w:r>
        <w:rPr>
          <w:rFonts w:ascii="Times New Roman" w:hAnsi="Times New Roman" w:cs="Times New Roman"/>
          <w:sz w:val="24"/>
          <w:szCs w:val="24"/>
        </w:rPr>
        <w:t>A cikk hátralévő részében rövid</w:t>
      </w:r>
      <w:r w:rsidR="00A26B28">
        <w:rPr>
          <w:rFonts w:ascii="Times New Roman" w:hAnsi="Times New Roman" w:cs="Times New Roman"/>
          <w:sz w:val="24"/>
          <w:szCs w:val="24"/>
        </w:rPr>
        <w:t>en</w:t>
      </w:r>
      <w:r>
        <w:rPr>
          <w:rFonts w:ascii="Times New Roman" w:hAnsi="Times New Roman" w:cs="Times New Roman"/>
          <w:sz w:val="24"/>
          <w:szCs w:val="24"/>
        </w:rPr>
        <w:t>,</w:t>
      </w:r>
      <w:r w:rsidR="006C5B64">
        <w:rPr>
          <w:rFonts w:ascii="Times New Roman" w:hAnsi="Times New Roman" w:cs="Times New Roman"/>
          <w:sz w:val="24"/>
          <w:szCs w:val="24"/>
        </w:rPr>
        <w:t xml:space="preserve"> áttekintő jelleggel bemutatjuk</w:t>
      </w:r>
      <w:r>
        <w:rPr>
          <w:rFonts w:ascii="Times New Roman" w:hAnsi="Times New Roman" w:cs="Times New Roman"/>
          <w:sz w:val="24"/>
          <w:szCs w:val="24"/>
        </w:rPr>
        <w:t xml:space="preserve"> a végfelhasználói jogok szabályozásának </w:t>
      </w:r>
      <w:r w:rsidR="00151375">
        <w:rPr>
          <w:rFonts w:ascii="Times New Roman" w:hAnsi="Times New Roman" w:cs="Times New Roman"/>
          <w:sz w:val="24"/>
          <w:szCs w:val="24"/>
        </w:rPr>
        <w:t xml:space="preserve">egyes </w:t>
      </w:r>
      <w:r>
        <w:rPr>
          <w:rFonts w:ascii="Times New Roman" w:hAnsi="Times New Roman" w:cs="Times New Roman"/>
          <w:sz w:val="24"/>
          <w:szCs w:val="24"/>
        </w:rPr>
        <w:t>tárgyköreit érintő módosításokat, mégpedig a</w:t>
      </w:r>
      <w:r w:rsidR="00151375">
        <w:rPr>
          <w:rFonts w:ascii="Times New Roman" w:hAnsi="Times New Roman" w:cs="Times New Roman"/>
          <w:sz w:val="24"/>
          <w:szCs w:val="24"/>
        </w:rPr>
        <w:t>zokat kiemelve,</w:t>
      </w:r>
      <w:r>
        <w:rPr>
          <w:rFonts w:ascii="Times New Roman" w:hAnsi="Times New Roman" w:cs="Times New Roman"/>
          <w:sz w:val="24"/>
          <w:szCs w:val="24"/>
        </w:rPr>
        <w:t xml:space="preserve"> amelyek lényegesebb újdonságot jelentenek a</w:t>
      </w:r>
      <w:r w:rsidR="00151375">
        <w:rPr>
          <w:rFonts w:ascii="Times New Roman" w:hAnsi="Times New Roman" w:cs="Times New Roman"/>
          <w:sz w:val="24"/>
          <w:szCs w:val="24"/>
        </w:rPr>
        <w:t xml:space="preserve"> már eddig is igen magas szi</w:t>
      </w:r>
      <w:r>
        <w:rPr>
          <w:rFonts w:ascii="Times New Roman" w:hAnsi="Times New Roman" w:cs="Times New Roman"/>
          <w:sz w:val="24"/>
          <w:szCs w:val="24"/>
        </w:rPr>
        <w:t xml:space="preserve">ntű és a keretszabályozás irányelvei által konkrétan megköveteltnél jellemzően szigorúbb hatályos magyar előírásokhoz képest. </w:t>
      </w:r>
    </w:p>
    <w:p w14:paraId="1F353F56" w14:textId="77777777" w:rsidR="00903FB9" w:rsidRPr="00D71053" w:rsidRDefault="00D71053" w:rsidP="00944C07">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2.4. </w:t>
      </w:r>
      <w:r w:rsidR="00903FB9" w:rsidRPr="00D71053">
        <w:rPr>
          <w:rFonts w:ascii="Times New Roman" w:hAnsi="Times New Roman" w:cs="Times New Roman"/>
          <w:b/>
          <w:sz w:val="24"/>
          <w:szCs w:val="24"/>
        </w:rPr>
        <w:t>Alap</w:t>
      </w:r>
      <w:r w:rsidR="00381BCA" w:rsidRPr="00D71053">
        <w:rPr>
          <w:rFonts w:ascii="Times New Roman" w:hAnsi="Times New Roman" w:cs="Times New Roman"/>
          <w:b/>
          <w:sz w:val="24"/>
          <w:szCs w:val="24"/>
        </w:rPr>
        <w:t>elvi jellegű</w:t>
      </w:r>
      <w:r w:rsidR="00903FB9" w:rsidRPr="00D71053">
        <w:rPr>
          <w:rFonts w:ascii="Times New Roman" w:hAnsi="Times New Roman" w:cs="Times New Roman"/>
          <w:b/>
          <w:sz w:val="24"/>
          <w:szCs w:val="24"/>
        </w:rPr>
        <w:t xml:space="preserve"> rendelkezések</w:t>
      </w:r>
    </w:p>
    <w:p w14:paraId="58CB9A9C" w14:textId="77777777" w:rsidR="00486238" w:rsidRDefault="00711C03" w:rsidP="006E6B6A">
      <w:pPr>
        <w:jc w:val="both"/>
      </w:pPr>
      <w:r>
        <w:rPr>
          <w:rFonts w:ascii="Times New Roman" w:hAnsi="Times New Roman" w:cs="Times New Roman"/>
          <w:sz w:val="24"/>
          <w:szCs w:val="24"/>
        </w:rPr>
        <w:t xml:space="preserve">Mindeddig </w:t>
      </w:r>
      <w:r w:rsidR="00EA1E59">
        <w:rPr>
          <w:rFonts w:ascii="Times New Roman" w:hAnsi="Times New Roman" w:cs="Times New Roman"/>
          <w:sz w:val="24"/>
          <w:szCs w:val="24"/>
        </w:rPr>
        <w:t xml:space="preserve">lényegében </w:t>
      </w:r>
      <w:r>
        <w:rPr>
          <w:rFonts w:ascii="Times New Roman" w:hAnsi="Times New Roman" w:cs="Times New Roman"/>
          <w:sz w:val="24"/>
          <w:szCs w:val="24"/>
        </w:rPr>
        <w:t>meghiúsult</w:t>
      </w:r>
      <w:r w:rsidR="00EA1E59">
        <w:rPr>
          <w:rFonts w:ascii="Times New Roman" w:hAnsi="Times New Roman" w:cs="Times New Roman"/>
          <w:sz w:val="24"/>
          <w:szCs w:val="24"/>
        </w:rPr>
        <w:t>,</w:t>
      </w:r>
      <w:r>
        <w:rPr>
          <w:rFonts w:ascii="Times New Roman" w:hAnsi="Times New Roman" w:cs="Times New Roman"/>
          <w:sz w:val="24"/>
          <w:szCs w:val="24"/>
        </w:rPr>
        <w:t xml:space="preserve"> azonban továbbra is fontos EU-s cél marad az elektronikus hírközlés</w:t>
      </w:r>
      <w:r w:rsidRPr="00711C03">
        <w:rPr>
          <w:rFonts w:ascii="Times New Roman" w:hAnsi="Times New Roman" w:cs="Times New Roman"/>
          <w:sz w:val="24"/>
          <w:szCs w:val="24"/>
        </w:rPr>
        <w:t xml:space="preserve"> ha</w:t>
      </w:r>
      <w:r>
        <w:rPr>
          <w:rFonts w:ascii="Times New Roman" w:hAnsi="Times New Roman" w:cs="Times New Roman"/>
          <w:sz w:val="24"/>
          <w:szCs w:val="24"/>
        </w:rPr>
        <w:t>tárokon átnyúl</w:t>
      </w:r>
      <w:r w:rsidR="00381BCA">
        <w:rPr>
          <w:rFonts w:ascii="Times New Roman" w:hAnsi="Times New Roman" w:cs="Times New Roman"/>
          <w:sz w:val="24"/>
          <w:szCs w:val="24"/>
        </w:rPr>
        <w:t>ó szolgáltatásokra épülő</w:t>
      </w:r>
      <w:r>
        <w:rPr>
          <w:rFonts w:ascii="Times New Roman" w:hAnsi="Times New Roman" w:cs="Times New Roman"/>
          <w:sz w:val="24"/>
          <w:szCs w:val="24"/>
        </w:rPr>
        <w:t xml:space="preserve"> piacának létrehozása</w:t>
      </w:r>
      <w:r w:rsidRPr="00711C03">
        <w:rPr>
          <w:rFonts w:ascii="Times New Roman" w:hAnsi="Times New Roman" w:cs="Times New Roman"/>
          <w:sz w:val="24"/>
          <w:szCs w:val="24"/>
        </w:rPr>
        <w:t xml:space="preserve">. </w:t>
      </w:r>
      <w:r w:rsidR="00381BCA">
        <w:rPr>
          <w:rFonts w:ascii="Times New Roman" w:hAnsi="Times New Roman" w:cs="Times New Roman"/>
          <w:sz w:val="24"/>
          <w:szCs w:val="24"/>
        </w:rPr>
        <w:t>Az ezt akadályozó egyik potenciális tényező a végfelhasználók indokolatlan megkülönböztetése. Ezért a Kódex kifejezetten rendelkezik arról, hogy a szolgáltatók</w:t>
      </w:r>
      <w:r w:rsidR="00381BCA" w:rsidRPr="00381BCA">
        <w:rPr>
          <w:rFonts w:ascii="Times New Roman" w:hAnsi="Times New Roman" w:cs="Times New Roman"/>
          <w:sz w:val="24"/>
          <w:szCs w:val="24"/>
        </w:rPr>
        <w:t xml:space="preserve"> nem írhatnak elő eltérő követelményeket </w:t>
      </w:r>
      <w:r w:rsidR="00381BCA">
        <w:rPr>
          <w:rFonts w:ascii="Times New Roman" w:hAnsi="Times New Roman" w:cs="Times New Roman"/>
          <w:sz w:val="24"/>
          <w:szCs w:val="24"/>
        </w:rPr>
        <w:t xml:space="preserve">a </w:t>
      </w:r>
      <w:r w:rsidR="00381BCA" w:rsidRPr="00381BCA">
        <w:rPr>
          <w:rFonts w:ascii="Times New Roman" w:hAnsi="Times New Roman" w:cs="Times New Roman"/>
          <w:sz w:val="24"/>
          <w:szCs w:val="24"/>
        </w:rPr>
        <w:t>végfelhasználók állampolgárságával, lakhelyével vagy székhelyével összefüggő okok alapj</w:t>
      </w:r>
      <w:r w:rsidR="006E6B6A">
        <w:rPr>
          <w:rFonts w:ascii="Times New Roman" w:hAnsi="Times New Roman" w:cs="Times New Roman"/>
          <w:sz w:val="24"/>
          <w:szCs w:val="24"/>
        </w:rPr>
        <w:t xml:space="preserve">án, kivéve abban az esetben, ha </w:t>
      </w:r>
      <w:r w:rsidR="00381BCA" w:rsidRPr="00381BCA">
        <w:rPr>
          <w:rFonts w:ascii="Times New Roman" w:hAnsi="Times New Roman" w:cs="Times New Roman"/>
          <w:sz w:val="24"/>
          <w:szCs w:val="24"/>
        </w:rPr>
        <w:t>ez az eltérő bánásmód objektív módon alátámasztható.</w:t>
      </w:r>
      <w:r w:rsidR="006E6B6A" w:rsidRPr="006E6B6A">
        <w:t xml:space="preserve"> </w:t>
      </w:r>
    </w:p>
    <w:p w14:paraId="15F740BF" w14:textId="77777777" w:rsidR="006E6B6A" w:rsidRPr="00486238" w:rsidRDefault="006E6B6A" w:rsidP="006E6B6A">
      <w:pPr>
        <w:jc w:val="both"/>
      </w:pPr>
      <w:r w:rsidRPr="006E6B6A">
        <w:rPr>
          <w:rFonts w:ascii="Times New Roman" w:hAnsi="Times New Roman" w:cs="Times New Roman"/>
          <w:sz w:val="24"/>
          <w:szCs w:val="24"/>
        </w:rPr>
        <w:t>A</w:t>
      </w:r>
      <w:r>
        <w:rPr>
          <w:rFonts w:ascii="Times New Roman" w:hAnsi="Times New Roman" w:cs="Times New Roman"/>
          <w:sz w:val="24"/>
          <w:szCs w:val="24"/>
        </w:rPr>
        <w:t xml:space="preserve"> Kódex több ponton nevesít kifejezetten a fogyatékossággal élő végfelhasználókkal szemben teljesítendő fogyasztóvédelmi követelményeket.</w:t>
      </w:r>
    </w:p>
    <w:p w14:paraId="497B8C58" w14:textId="77777777" w:rsidR="00381BCA" w:rsidRPr="00D71053" w:rsidRDefault="00D71053" w:rsidP="00711C03">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2.5. </w:t>
      </w:r>
      <w:r w:rsidR="006E6B6A" w:rsidRPr="00D71053">
        <w:rPr>
          <w:rFonts w:ascii="Times New Roman" w:hAnsi="Times New Roman" w:cs="Times New Roman"/>
          <w:b/>
          <w:sz w:val="24"/>
          <w:szCs w:val="24"/>
        </w:rPr>
        <w:t>Személyi hatály</w:t>
      </w:r>
    </w:p>
    <w:p w14:paraId="23C3E536" w14:textId="7437D872" w:rsidR="00F175C9" w:rsidRDefault="00F175C9" w:rsidP="00D60973">
      <w:pPr>
        <w:jc w:val="both"/>
        <w:rPr>
          <w:rFonts w:ascii="Times New Roman" w:hAnsi="Times New Roman" w:cs="Times New Roman"/>
          <w:sz w:val="24"/>
          <w:szCs w:val="24"/>
        </w:rPr>
      </w:pPr>
      <w:r>
        <w:rPr>
          <w:rFonts w:ascii="Times New Roman" w:hAnsi="Times New Roman" w:cs="Times New Roman"/>
          <w:sz w:val="24"/>
          <w:szCs w:val="24"/>
        </w:rPr>
        <w:t xml:space="preserve">A Kódex következetesebbnek tűnik abban, hogy a védelmet a fogyasztónak minősülő végfelhasználóknak adja meg. Azonban ez az elv továbbra sem érvényesül </w:t>
      </w:r>
      <w:r w:rsidR="00D60973">
        <w:rPr>
          <w:rFonts w:ascii="Times New Roman" w:hAnsi="Times New Roman" w:cs="Times New Roman"/>
          <w:sz w:val="24"/>
          <w:szCs w:val="24"/>
        </w:rPr>
        <w:t xml:space="preserve">majd </w:t>
      </w:r>
      <w:r>
        <w:rPr>
          <w:rFonts w:ascii="Times New Roman" w:hAnsi="Times New Roman" w:cs="Times New Roman"/>
          <w:sz w:val="24"/>
          <w:szCs w:val="24"/>
        </w:rPr>
        <w:t>maradéktalanul</w:t>
      </w:r>
      <w:r w:rsidR="00D60973">
        <w:rPr>
          <w:rFonts w:ascii="Times New Roman" w:hAnsi="Times New Roman" w:cs="Times New Roman"/>
          <w:sz w:val="24"/>
          <w:szCs w:val="24"/>
        </w:rPr>
        <w:t>,</w:t>
      </w:r>
      <w:r>
        <w:rPr>
          <w:rFonts w:ascii="Times New Roman" w:hAnsi="Times New Roman" w:cs="Times New Roman"/>
          <w:sz w:val="24"/>
          <w:szCs w:val="24"/>
        </w:rPr>
        <w:t xml:space="preserve"> ugyanis </w:t>
      </w:r>
      <w:r w:rsidR="00D60973">
        <w:rPr>
          <w:rFonts w:ascii="Times New Roman" w:hAnsi="Times New Roman" w:cs="Times New Roman"/>
          <w:sz w:val="24"/>
          <w:szCs w:val="24"/>
        </w:rPr>
        <w:t>több</w:t>
      </w:r>
      <w:r w:rsidR="000311C8">
        <w:rPr>
          <w:rFonts w:ascii="Times New Roman" w:hAnsi="Times New Roman" w:cs="Times New Roman"/>
          <w:sz w:val="24"/>
          <w:szCs w:val="24"/>
        </w:rPr>
        <w:t>,</w:t>
      </w:r>
      <w:r w:rsidR="00D60973">
        <w:rPr>
          <w:rFonts w:ascii="Times New Roman" w:hAnsi="Times New Roman" w:cs="Times New Roman"/>
          <w:sz w:val="24"/>
          <w:szCs w:val="24"/>
        </w:rPr>
        <w:t xml:space="preserve"> elsődlegesen fogyasztóvédelmi jellegű </w:t>
      </w:r>
      <w:r>
        <w:rPr>
          <w:rFonts w:ascii="Times New Roman" w:hAnsi="Times New Roman" w:cs="Times New Roman"/>
          <w:sz w:val="24"/>
          <w:szCs w:val="24"/>
        </w:rPr>
        <w:t>előírást</w:t>
      </w:r>
      <w:r w:rsidR="00D60973">
        <w:rPr>
          <w:rFonts w:ascii="Times New Roman" w:hAnsi="Times New Roman" w:cs="Times New Roman"/>
          <w:sz w:val="24"/>
          <w:szCs w:val="24"/>
        </w:rPr>
        <w:t xml:space="preserve"> </w:t>
      </w:r>
      <w:r w:rsidRPr="00F175C9">
        <w:rPr>
          <w:rFonts w:ascii="Times New Roman" w:hAnsi="Times New Roman" w:cs="Times New Roman"/>
          <w:sz w:val="24"/>
          <w:szCs w:val="24"/>
        </w:rPr>
        <w:t xml:space="preserve">– nevezetesen a szerződések adataira, a szerződések maximális időtartamára és a </w:t>
      </w:r>
      <w:r>
        <w:rPr>
          <w:rFonts w:ascii="Times New Roman" w:hAnsi="Times New Roman" w:cs="Times New Roman"/>
          <w:sz w:val="24"/>
          <w:szCs w:val="24"/>
        </w:rPr>
        <w:t>szo</w:t>
      </w:r>
      <w:r w:rsidR="00CA6B05">
        <w:rPr>
          <w:rFonts w:ascii="Times New Roman" w:hAnsi="Times New Roman" w:cs="Times New Roman"/>
          <w:sz w:val="24"/>
          <w:szCs w:val="24"/>
        </w:rPr>
        <w:t>lgáltatás</w:t>
      </w:r>
      <w:r>
        <w:rPr>
          <w:rFonts w:ascii="Times New Roman" w:hAnsi="Times New Roman" w:cs="Times New Roman"/>
          <w:sz w:val="24"/>
          <w:szCs w:val="24"/>
        </w:rPr>
        <w:t xml:space="preserve">csomagokra </w:t>
      </w:r>
      <w:r w:rsidRPr="00F175C9">
        <w:rPr>
          <w:rFonts w:ascii="Times New Roman" w:hAnsi="Times New Roman" w:cs="Times New Roman"/>
          <w:sz w:val="24"/>
          <w:szCs w:val="24"/>
        </w:rPr>
        <w:t>vonatkozó</w:t>
      </w:r>
      <w:r>
        <w:rPr>
          <w:rFonts w:ascii="Times New Roman" w:hAnsi="Times New Roman" w:cs="Times New Roman"/>
          <w:sz w:val="24"/>
          <w:szCs w:val="24"/>
        </w:rPr>
        <w:t>kat</w:t>
      </w:r>
      <w:r w:rsidR="00D60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5C9">
        <w:rPr>
          <w:rFonts w:ascii="Times New Roman" w:hAnsi="Times New Roman" w:cs="Times New Roman"/>
          <w:sz w:val="24"/>
          <w:szCs w:val="24"/>
        </w:rPr>
        <w:t>a mikro- és kisvállalkozások</w:t>
      </w:r>
      <w:r w:rsidR="00D60973">
        <w:rPr>
          <w:rFonts w:ascii="Times New Roman" w:hAnsi="Times New Roman" w:cs="Times New Roman"/>
          <w:sz w:val="24"/>
          <w:szCs w:val="24"/>
        </w:rPr>
        <w:t xml:space="preserve">, sőt újdonságként a </w:t>
      </w:r>
      <w:r w:rsidR="00D60973" w:rsidRPr="00F175C9">
        <w:rPr>
          <w:rFonts w:ascii="Times New Roman" w:hAnsi="Times New Roman" w:cs="Times New Roman"/>
          <w:sz w:val="24"/>
          <w:szCs w:val="24"/>
        </w:rPr>
        <w:t xml:space="preserve">nonprofit szervezetek esetében </w:t>
      </w:r>
      <w:r w:rsidR="00D60973">
        <w:rPr>
          <w:rFonts w:ascii="Times New Roman" w:hAnsi="Times New Roman" w:cs="Times New Roman"/>
          <w:sz w:val="24"/>
          <w:szCs w:val="24"/>
        </w:rPr>
        <w:t xml:space="preserve">is érvényesíteni kell. A jogalkotók álláspontja szerint az említett kategóriákba tartozó </w:t>
      </w:r>
      <w:r w:rsidRPr="00F175C9">
        <w:rPr>
          <w:rFonts w:ascii="Times New Roman" w:hAnsi="Times New Roman" w:cs="Times New Roman"/>
          <w:sz w:val="24"/>
          <w:szCs w:val="24"/>
        </w:rPr>
        <w:t>vállalkozások és szervezetek tárgyalási pozíciója hasonló a fogyasztókéhoz, és ezér</w:t>
      </w:r>
      <w:r w:rsidR="00D60973">
        <w:rPr>
          <w:rFonts w:ascii="Times New Roman" w:hAnsi="Times New Roman" w:cs="Times New Roman"/>
          <w:sz w:val="24"/>
          <w:szCs w:val="24"/>
        </w:rPr>
        <w:t xml:space="preserve">t a </w:t>
      </w:r>
      <w:r w:rsidR="00D60973">
        <w:rPr>
          <w:rFonts w:ascii="Times New Roman" w:hAnsi="Times New Roman" w:cs="Times New Roman"/>
          <w:sz w:val="24"/>
          <w:szCs w:val="24"/>
        </w:rPr>
        <w:lastRenderedPageBreak/>
        <w:t xml:space="preserve">fogyasztókkal azonos szintű </w:t>
      </w:r>
      <w:r w:rsidRPr="00F175C9">
        <w:rPr>
          <w:rFonts w:ascii="Times New Roman" w:hAnsi="Times New Roman" w:cs="Times New Roman"/>
          <w:sz w:val="24"/>
          <w:szCs w:val="24"/>
        </w:rPr>
        <w:t>védelmet kell élvezniük, kivéve abban az esetben, ha kifejezetten lemondanak ezen jogukról.</w:t>
      </w:r>
      <w:r w:rsidR="00D60973">
        <w:rPr>
          <w:rFonts w:ascii="Times New Roman" w:hAnsi="Times New Roman" w:cs="Times New Roman"/>
          <w:sz w:val="24"/>
          <w:szCs w:val="24"/>
        </w:rPr>
        <w:t xml:space="preserve"> Egyéb rendelkezéseket, </w:t>
      </w:r>
      <w:r w:rsidR="00D60973" w:rsidRPr="00D60973">
        <w:rPr>
          <w:rFonts w:ascii="Times New Roman" w:hAnsi="Times New Roman" w:cs="Times New Roman"/>
          <w:sz w:val="24"/>
          <w:szCs w:val="24"/>
        </w:rPr>
        <w:t xml:space="preserve">például a számhordozhatóságot, </w:t>
      </w:r>
      <w:r w:rsidR="00D60973">
        <w:rPr>
          <w:rFonts w:ascii="Times New Roman" w:hAnsi="Times New Roman" w:cs="Times New Roman"/>
          <w:sz w:val="24"/>
          <w:szCs w:val="24"/>
        </w:rPr>
        <w:t xml:space="preserve">továbbra is minden </w:t>
      </w:r>
      <w:r w:rsidR="00D60973" w:rsidRPr="00D60973">
        <w:rPr>
          <w:rFonts w:ascii="Times New Roman" w:hAnsi="Times New Roman" w:cs="Times New Roman"/>
          <w:sz w:val="24"/>
          <w:szCs w:val="24"/>
        </w:rPr>
        <w:t>végfelhasználó esetében tiszteletben kell tartani</w:t>
      </w:r>
      <w:r w:rsidR="00EA1E59">
        <w:rPr>
          <w:rStyle w:val="FootnoteReference"/>
          <w:rFonts w:ascii="Times New Roman" w:hAnsi="Times New Roman" w:cs="Times New Roman"/>
          <w:sz w:val="24"/>
          <w:szCs w:val="24"/>
        </w:rPr>
        <w:footnoteReference w:id="17"/>
      </w:r>
      <w:r w:rsidR="00D60973" w:rsidRPr="00D60973">
        <w:rPr>
          <w:rFonts w:ascii="Times New Roman" w:hAnsi="Times New Roman" w:cs="Times New Roman"/>
          <w:sz w:val="24"/>
          <w:szCs w:val="24"/>
        </w:rPr>
        <w:t>.</w:t>
      </w:r>
    </w:p>
    <w:p w14:paraId="2D3D08E8" w14:textId="77777777" w:rsidR="00D60973" w:rsidRDefault="00EA1E59" w:rsidP="00D60973">
      <w:pPr>
        <w:jc w:val="both"/>
        <w:rPr>
          <w:rFonts w:ascii="Times New Roman" w:hAnsi="Times New Roman" w:cs="Times New Roman"/>
          <w:sz w:val="24"/>
          <w:szCs w:val="24"/>
        </w:rPr>
      </w:pPr>
      <w:r>
        <w:rPr>
          <w:rFonts w:ascii="Times New Roman" w:hAnsi="Times New Roman" w:cs="Times New Roman"/>
          <w:sz w:val="24"/>
          <w:szCs w:val="24"/>
        </w:rPr>
        <w:t xml:space="preserve">A kötelezett </w:t>
      </w:r>
      <w:r w:rsidR="00D60973">
        <w:rPr>
          <w:rFonts w:ascii="Times New Roman" w:hAnsi="Times New Roman" w:cs="Times New Roman"/>
          <w:sz w:val="24"/>
          <w:szCs w:val="24"/>
        </w:rPr>
        <w:t>szolgáltatói oldalt illetően pedig figyelemreméltó,</w:t>
      </w:r>
      <w:r w:rsidR="00D62094">
        <w:rPr>
          <w:rFonts w:ascii="Times New Roman" w:hAnsi="Times New Roman" w:cs="Times New Roman"/>
          <w:sz w:val="24"/>
          <w:szCs w:val="24"/>
        </w:rPr>
        <w:t xml:space="preserve"> </w:t>
      </w:r>
      <w:r w:rsidR="00D60973">
        <w:rPr>
          <w:rFonts w:ascii="Times New Roman" w:hAnsi="Times New Roman" w:cs="Times New Roman"/>
          <w:sz w:val="24"/>
          <w:szCs w:val="24"/>
        </w:rPr>
        <w:t xml:space="preserve">hogy </w:t>
      </w:r>
      <w:r w:rsidR="00D60973" w:rsidRPr="00D60973">
        <w:rPr>
          <w:rFonts w:ascii="Times New Roman" w:hAnsi="Times New Roman" w:cs="Times New Roman"/>
          <w:sz w:val="24"/>
          <w:szCs w:val="24"/>
        </w:rPr>
        <w:t>a számfüggetlen személyközi hír</w:t>
      </w:r>
      <w:r w:rsidR="00D62094">
        <w:rPr>
          <w:rFonts w:ascii="Times New Roman" w:hAnsi="Times New Roman" w:cs="Times New Roman"/>
          <w:sz w:val="24"/>
          <w:szCs w:val="24"/>
        </w:rPr>
        <w:t xml:space="preserve">közlési szolgáltatásokat nyújtó mikrovállalkozásoknak nem kell alkalmazniuk a </w:t>
      </w:r>
      <w:r w:rsidR="00D62094" w:rsidRPr="006E6B6A">
        <w:rPr>
          <w:rFonts w:ascii="Times New Roman" w:hAnsi="Times New Roman" w:cs="Times New Roman"/>
          <w:sz w:val="24"/>
          <w:szCs w:val="24"/>
        </w:rPr>
        <w:t xml:space="preserve">végfelhasználók </w:t>
      </w:r>
      <w:r w:rsidR="00D62094">
        <w:rPr>
          <w:rFonts w:ascii="Times New Roman" w:hAnsi="Times New Roman" w:cs="Times New Roman"/>
          <w:sz w:val="24"/>
          <w:szCs w:val="24"/>
        </w:rPr>
        <w:t>jogairól szóló rendelkezéseket</w:t>
      </w:r>
      <w:r w:rsidR="00D60973" w:rsidRPr="00D60973">
        <w:rPr>
          <w:rFonts w:ascii="Times New Roman" w:hAnsi="Times New Roman" w:cs="Times New Roman"/>
          <w:sz w:val="24"/>
          <w:szCs w:val="24"/>
        </w:rPr>
        <w:t>, kivéve, ha egyéb elektronikus hírközlési szolgáltatásokat is nyújtanak</w:t>
      </w:r>
      <w:r w:rsidR="00D62094">
        <w:rPr>
          <w:rFonts w:ascii="Times New Roman" w:hAnsi="Times New Roman" w:cs="Times New Roman"/>
          <w:sz w:val="24"/>
          <w:szCs w:val="24"/>
        </w:rPr>
        <w:t>.</w:t>
      </w:r>
    </w:p>
    <w:p w14:paraId="198B8047" w14:textId="77777777" w:rsidR="00D62094" w:rsidRPr="00D71053" w:rsidRDefault="00D71053" w:rsidP="00D60973">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2.6. </w:t>
      </w:r>
      <w:r w:rsidR="00D62094" w:rsidRPr="00D71053">
        <w:rPr>
          <w:rFonts w:ascii="Times New Roman" w:hAnsi="Times New Roman" w:cs="Times New Roman"/>
          <w:b/>
          <w:sz w:val="24"/>
          <w:szCs w:val="24"/>
        </w:rPr>
        <w:t>Szerződésekre vonatkozó tájékoztatási követelmények</w:t>
      </w:r>
    </w:p>
    <w:p w14:paraId="17C4EF06" w14:textId="77777777" w:rsidR="004921FA" w:rsidRDefault="004921FA" w:rsidP="004921FA">
      <w:pPr>
        <w:jc w:val="both"/>
        <w:rPr>
          <w:rFonts w:ascii="Times New Roman" w:hAnsi="Times New Roman" w:cs="Times New Roman"/>
          <w:sz w:val="24"/>
          <w:szCs w:val="24"/>
        </w:rPr>
      </w:pPr>
      <w:r>
        <w:rPr>
          <w:rFonts w:ascii="Times New Roman" w:hAnsi="Times New Roman" w:cs="Times New Roman"/>
          <w:sz w:val="24"/>
          <w:szCs w:val="24"/>
        </w:rPr>
        <w:t xml:space="preserve">A továbbra is rendkívül részletes szabályozás addícionális új eleme, hogy </w:t>
      </w:r>
      <w:r w:rsidRPr="004921FA">
        <w:rPr>
          <w:rFonts w:ascii="Times New Roman" w:hAnsi="Times New Roman" w:cs="Times New Roman"/>
          <w:sz w:val="24"/>
          <w:szCs w:val="24"/>
        </w:rPr>
        <w:t xml:space="preserve">a szolgáltatóknak </w:t>
      </w:r>
      <w:r>
        <w:rPr>
          <w:rFonts w:ascii="Times New Roman" w:hAnsi="Times New Roman" w:cs="Times New Roman"/>
          <w:sz w:val="24"/>
          <w:szCs w:val="24"/>
        </w:rPr>
        <w:t>a fogyasztók rendelkezésére kell</w:t>
      </w:r>
      <w:r w:rsidRPr="004921FA">
        <w:rPr>
          <w:rFonts w:ascii="Times New Roman" w:hAnsi="Times New Roman" w:cs="Times New Roman"/>
          <w:sz w:val="24"/>
          <w:szCs w:val="24"/>
        </w:rPr>
        <w:t xml:space="preserve"> boc</w:t>
      </w:r>
      <w:r>
        <w:rPr>
          <w:rFonts w:ascii="Times New Roman" w:hAnsi="Times New Roman" w:cs="Times New Roman"/>
          <w:sz w:val="24"/>
          <w:szCs w:val="24"/>
        </w:rPr>
        <w:t xml:space="preserve">sátaniuk az alapvető szerződési </w:t>
      </w:r>
      <w:r w:rsidRPr="004921FA">
        <w:rPr>
          <w:rFonts w:ascii="Times New Roman" w:hAnsi="Times New Roman" w:cs="Times New Roman"/>
          <w:sz w:val="24"/>
          <w:szCs w:val="24"/>
        </w:rPr>
        <w:t xml:space="preserve">feltételek </w:t>
      </w:r>
      <w:r w:rsidR="009F478B">
        <w:rPr>
          <w:rFonts w:ascii="Times New Roman" w:hAnsi="Times New Roman" w:cs="Times New Roman"/>
          <w:sz w:val="24"/>
          <w:szCs w:val="24"/>
        </w:rPr>
        <w:t>tömör</w:t>
      </w:r>
      <w:r>
        <w:rPr>
          <w:rFonts w:ascii="Times New Roman" w:hAnsi="Times New Roman" w:cs="Times New Roman"/>
          <w:sz w:val="24"/>
          <w:szCs w:val="24"/>
        </w:rPr>
        <w:t xml:space="preserve">, meghatározott </w:t>
      </w:r>
      <w:r w:rsidR="00BB5D56">
        <w:rPr>
          <w:rFonts w:ascii="Times New Roman" w:hAnsi="Times New Roman" w:cs="Times New Roman"/>
          <w:sz w:val="24"/>
          <w:szCs w:val="24"/>
        </w:rPr>
        <w:t xml:space="preserve">minta szerint készítendő </w:t>
      </w:r>
      <w:r>
        <w:rPr>
          <w:rFonts w:ascii="Times New Roman" w:hAnsi="Times New Roman" w:cs="Times New Roman"/>
          <w:sz w:val="24"/>
          <w:szCs w:val="24"/>
        </w:rPr>
        <w:t>összefoglalóját</w:t>
      </w:r>
      <w:r w:rsidRPr="004921FA">
        <w:rPr>
          <w:rFonts w:ascii="Times New Roman" w:hAnsi="Times New Roman" w:cs="Times New Roman"/>
          <w:sz w:val="24"/>
          <w:szCs w:val="24"/>
        </w:rPr>
        <w:t xml:space="preserve"> is. </w:t>
      </w:r>
    </w:p>
    <w:p w14:paraId="79127ABD" w14:textId="77777777" w:rsidR="009F478B" w:rsidRPr="00D71053" w:rsidRDefault="00D71053" w:rsidP="004921FA">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2.7. </w:t>
      </w:r>
      <w:r w:rsidR="009611B7" w:rsidRPr="00D71053">
        <w:rPr>
          <w:rFonts w:ascii="Times New Roman" w:hAnsi="Times New Roman" w:cs="Times New Roman"/>
          <w:b/>
          <w:sz w:val="24"/>
          <w:szCs w:val="24"/>
        </w:rPr>
        <w:t>A szolgáltatások átláthatósága</w:t>
      </w:r>
    </w:p>
    <w:p w14:paraId="54FBA264" w14:textId="5075273B" w:rsidR="009611B7" w:rsidRDefault="009611B7" w:rsidP="009611B7">
      <w:pPr>
        <w:jc w:val="both"/>
        <w:rPr>
          <w:rFonts w:ascii="Times New Roman" w:hAnsi="Times New Roman" w:cs="Times New Roman"/>
          <w:sz w:val="24"/>
          <w:szCs w:val="24"/>
        </w:rPr>
      </w:pPr>
      <w:r>
        <w:rPr>
          <w:rFonts w:ascii="Times New Roman" w:hAnsi="Times New Roman" w:cs="Times New Roman"/>
          <w:sz w:val="24"/>
          <w:szCs w:val="24"/>
        </w:rPr>
        <w:t xml:space="preserve">A tarifákra és a Kódex mellékletében meghatározott egyéb feltételekre vonatkozó közzétételi kötelezettség </w:t>
      </w:r>
      <w:r w:rsidRPr="009611B7">
        <w:rPr>
          <w:rFonts w:ascii="Times New Roman" w:hAnsi="Times New Roman" w:cs="Times New Roman"/>
          <w:sz w:val="24"/>
          <w:szCs w:val="24"/>
        </w:rPr>
        <w:t xml:space="preserve">az internet-hozzáférési szolgáltatást vagy a nyilvánosan </w:t>
      </w:r>
      <w:r>
        <w:rPr>
          <w:rFonts w:ascii="Times New Roman" w:hAnsi="Times New Roman" w:cs="Times New Roman"/>
          <w:sz w:val="24"/>
          <w:szCs w:val="24"/>
        </w:rPr>
        <w:t xml:space="preserve">elérhető személyközi hírközlési </w:t>
      </w:r>
      <w:r w:rsidRPr="009611B7">
        <w:rPr>
          <w:rFonts w:ascii="Times New Roman" w:hAnsi="Times New Roman" w:cs="Times New Roman"/>
          <w:sz w:val="24"/>
          <w:szCs w:val="24"/>
        </w:rPr>
        <w:t xml:space="preserve">szolgáltatást </w:t>
      </w:r>
      <w:r>
        <w:rPr>
          <w:rFonts w:ascii="Times New Roman" w:hAnsi="Times New Roman" w:cs="Times New Roman"/>
          <w:sz w:val="24"/>
          <w:szCs w:val="24"/>
        </w:rPr>
        <w:t>feltételekhez kötő</w:t>
      </w:r>
      <w:r w:rsidRPr="009611B7">
        <w:rPr>
          <w:rFonts w:ascii="Times New Roman" w:hAnsi="Times New Roman" w:cs="Times New Roman"/>
          <w:sz w:val="24"/>
          <w:szCs w:val="24"/>
        </w:rPr>
        <w:t xml:space="preserve"> szolgáltat</w:t>
      </w:r>
      <w:r w:rsidR="00985ABA">
        <w:rPr>
          <w:rFonts w:ascii="Times New Roman" w:hAnsi="Times New Roman" w:cs="Times New Roman"/>
          <w:sz w:val="24"/>
          <w:szCs w:val="24"/>
        </w:rPr>
        <w:t>ókra</w:t>
      </w:r>
      <w:r>
        <w:rPr>
          <w:rFonts w:ascii="Times New Roman" w:hAnsi="Times New Roman" w:cs="Times New Roman"/>
          <w:sz w:val="24"/>
          <w:szCs w:val="24"/>
        </w:rPr>
        <w:t xml:space="preserve"> fog kiterjedni</w:t>
      </w:r>
      <w:r w:rsidR="00CA6B05">
        <w:rPr>
          <w:rFonts w:ascii="Times New Roman" w:hAnsi="Times New Roman" w:cs="Times New Roman"/>
          <w:sz w:val="24"/>
          <w:szCs w:val="24"/>
        </w:rPr>
        <w:t>,</w:t>
      </w:r>
      <w:r>
        <w:rPr>
          <w:rFonts w:ascii="Times New Roman" w:hAnsi="Times New Roman" w:cs="Times New Roman"/>
          <w:sz w:val="24"/>
          <w:szCs w:val="24"/>
        </w:rPr>
        <w:t xml:space="preserve"> nem csupán </w:t>
      </w:r>
      <w:r w:rsidR="00985ABA">
        <w:rPr>
          <w:rFonts w:ascii="Times New Roman" w:hAnsi="Times New Roman" w:cs="Times New Roman"/>
          <w:sz w:val="24"/>
          <w:szCs w:val="24"/>
        </w:rPr>
        <w:t xml:space="preserve">világos, átfogó, </w:t>
      </w:r>
      <w:r>
        <w:rPr>
          <w:rFonts w:ascii="Times New Roman" w:hAnsi="Times New Roman" w:cs="Times New Roman"/>
          <w:sz w:val="24"/>
          <w:szCs w:val="24"/>
        </w:rPr>
        <w:t xml:space="preserve">hanem </w:t>
      </w:r>
      <w:r w:rsidRPr="009611B7">
        <w:rPr>
          <w:rFonts w:ascii="Times New Roman" w:hAnsi="Times New Roman" w:cs="Times New Roman"/>
          <w:sz w:val="24"/>
          <w:szCs w:val="24"/>
        </w:rPr>
        <w:t>géppel olvasható módon, a fogyatékossággal élő végfelhasználók s</w:t>
      </w:r>
      <w:r>
        <w:rPr>
          <w:rFonts w:ascii="Times New Roman" w:hAnsi="Times New Roman" w:cs="Times New Roman"/>
          <w:sz w:val="24"/>
          <w:szCs w:val="24"/>
        </w:rPr>
        <w:t xml:space="preserve">zámára pedig </w:t>
      </w:r>
      <w:r w:rsidRPr="009611B7">
        <w:rPr>
          <w:rFonts w:ascii="Times New Roman" w:hAnsi="Times New Roman" w:cs="Times New Roman"/>
          <w:sz w:val="24"/>
          <w:szCs w:val="24"/>
        </w:rPr>
        <w:t>akadálymentes formátumban</w:t>
      </w:r>
      <w:r>
        <w:rPr>
          <w:rFonts w:ascii="Times New Roman" w:hAnsi="Times New Roman" w:cs="Times New Roman"/>
          <w:sz w:val="24"/>
          <w:szCs w:val="24"/>
        </w:rPr>
        <w:t xml:space="preserve">. </w:t>
      </w:r>
    </w:p>
    <w:p w14:paraId="5491A860" w14:textId="77777777" w:rsidR="009611B7" w:rsidRPr="00D71053" w:rsidRDefault="00D71053" w:rsidP="009611B7">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2.8. </w:t>
      </w:r>
      <w:r w:rsidR="00985ABA" w:rsidRPr="00D71053">
        <w:rPr>
          <w:rFonts w:ascii="Times New Roman" w:hAnsi="Times New Roman" w:cs="Times New Roman"/>
          <w:b/>
          <w:sz w:val="24"/>
          <w:szCs w:val="24"/>
        </w:rPr>
        <w:t>Szolgáltatások minősége</w:t>
      </w:r>
    </w:p>
    <w:p w14:paraId="72F540BD" w14:textId="32D0351E" w:rsidR="00985ABA" w:rsidRDefault="00985ABA" w:rsidP="00985ABA">
      <w:pPr>
        <w:jc w:val="both"/>
        <w:rPr>
          <w:rFonts w:ascii="Times New Roman" w:hAnsi="Times New Roman" w:cs="Times New Roman"/>
          <w:sz w:val="24"/>
          <w:szCs w:val="24"/>
        </w:rPr>
      </w:pPr>
      <w:r>
        <w:rPr>
          <w:rFonts w:ascii="Times New Roman" w:hAnsi="Times New Roman" w:cs="Times New Roman"/>
          <w:sz w:val="24"/>
          <w:szCs w:val="24"/>
        </w:rPr>
        <w:t xml:space="preserve">A </w:t>
      </w:r>
      <w:r w:rsidRPr="00985ABA">
        <w:rPr>
          <w:rFonts w:ascii="Times New Roman" w:hAnsi="Times New Roman" w:cs="Times New Roman"/>
          <w:sz w:val="24"/>
          <w:szCs w:val="24"/>
        </w:rPr>
        <w:t>nemzeti szabályozó hatóságok egyéb illetékes hatóságokkal koordinálva azt is előírhatják a nyilvánosan elérhető</w:t>
      </w:r>
      <w:r>
        <w:rPr>
          <w:rFonts w:ascii="Times New Roman" w:hAnsi="Times New Roman" w:cs="Times New Roman"/>
          <w:sz w:val="24"/>
          <w:szCs w:val="24"/>
        </w:rPr>
        <w:t xml:space="preserve"> </w:t>
      </w:r>
      <w:r w:rsidRPr="00985ABA">
        <w:rPr>
          <w:rFonts w:ascii="Times New Roman" w:hAnsi="Times New Roman" w:cs="Times New Roman"/>
          <w:sz w:val="24"/>
          <w:szCs w:val="24"/>
        </w:rPr>
        <w:t>személyközi hírközlési szolgáltatásokat nyújtó szolgáltatók számára, hogy tájékoztassák a fogyasztókat, ha az általuk</w:t>
      </w:r>
      <w:r>
        <w:rPr>
          <w:rFonts w:ascii="Times New Roman" w:hAnsi="Times New Roman" w:cs="Times New Roman"/>
          <w:sz w:val="24"/>
          <w:szCs w:val="24"/>
        </w:rPr>
        <w:t xml:space="preserve"> </w:t>
      </w:r>
      <w:r w:rsidRPr="00985ABA">
        <w:rPr>
          <w:rFonts w:ascii="Times New Roman" w:hAnsi="Times New Roman" w:cs="Times New Roman"/>
          <w:sz w:val="24"/>
          <w:szCs w:val="24"/>
        </w:rPr>
        <w:t>nyújtott szolgáltatások minősége valamilyen külső tényezőtől, például a jelátvitel feletti ellenőrzéstől vagy hálózati</w:t>
      </w:r>
      <w:r>
        <w:rPr>
          <w:rFonts w:ascii="Times New Roman" w:hAnsi="Times New Roman" w:cs="Times New Roman"/>
          <w:sz w:val="24"/>
          <w:szCs w:val="24"/>
        </w:rPr>
        <w:t xml:space="preserve"> </w:t>
      </w:r>
      <w:r w:rsidRPr="00985ABA">
        <w:rPr>
          <w:rFonts w:ascii="Times New Roman" w:hAnsi="Times New Roman" w:cs="Times New Roman"/>
          <w:sz w:val="24"/>
          <w:szCs w:val="24"/>
        </w:rPr>
        <w:t>kapcsolattól függ.</w:t>
      </w:r>
      <w:r>
        <w:rPr>
          <w:rFonts w:ascii="Times New Roman" w:hAnsi="Times New Roman" w:cs="Times New Roman"/>
          <w:sz w:val="24"/>
          <w:szCs w:val="24"/>
        </w:rPr>
        <w:t xml:space="preserve"> </w:t>
      </w:r>
      <w:r w:rsidRPr="00985ABA">
        <w:rPr>
          <w:rFonts w:ascii="Times New Roman" w:hAnsi="Times New Roman" w:cs="Times New Roman"/>
          <w:sz w:val="24"/>
          <w:szCs w:val="24"/>
        </w:rPr>
        <w:t xml:space="preserve">A nemzeti szabályozó hatóságok </w:t>
      </w:r>
      <w:r>
        <w:rPr>
          <w:rFonts w:ascii="Times New Roman" w:hAnsi="Times New Roman" w:cs="Times New Roman"/>
          <w:sz w:val="24"/>
          <w:szCs w:val="24"/>
        </w:rPr>
        <w:t xml:space="preserve">- </w:t>
      </w:r>
      <w:r w:rsidRPr="00985ABA">
        <w:rPr>
          <w:rFonts w:ascii="Times New Roman" w:hAnsi="Times New Roman" w:cs="Times New Roman"/>
          <w:sz w:val="24"/>
          <w:szCs w:val="24"/>
        </w:rPr>
        <w:t>egyéb illetékes hatóságokkal koordinálva</w:t>
      </w:r>
      <w:r w:rsidR="006E6F74">
        <w:rPr>
          <w:rFonts w:ascii="Times New Roman" w:hAnsi="Times New Roman" w:cs="Times New Roman"/>
          <w:sz w:val="24"/>
          <w:szCs w:val="24"/>
        </w:rPr>
        <w:t>,</w:t>
      </w:r>
      <w:r w:rsidRPr="00985ABA">
        <w:rPr>
          <w:rFonts w:ascii="Times New Roman" w:hAnsi="Times New Roman" w:cs="Times New Roman"/>
          <w:sz w:val="24"/>
          <w:szCs w:val="24"/>
        </w:rPr>
        <w:t xml:space="preserve"> a B</w:t>
      </w:r>
      <w:r>
        <w:rPr>
          <w:rFonts w:ascii="Times New Roman" w:hAnsi="Times New Roman" w:cs="Times New Roman"/>
          <w:sz w:val="24"/>
          <w:szCs w:val="24"/>
        </w:rPr>
        <w:t xml:space="preserve">EREC által kiadott iránymutatás </w:t>
      </w:r>
      <w:r w:rsidRPr="00985ABA">
        <w:rPr>
          <w:rFonts w:ascii="Times New Roman" w:hAnsi="Times New Roman" w:cs="Times New Roman"/>
          <w:sz w:val="24"/>
          <w:szCs w:val="24"/>
        </w:rPr>
        <w:t xml:space="preserve">legmesszemenőbb figyelembevételével </w:t>
      </w:r>
      <w:r>
        <w:rPr>
          <w:rFonts w:ascii="Times New Roman" w:hAnsi="Times New Roman" w:cs="Times New Roman"/>
          <w:sz w:val="24"/>
          <w:szCs w:val="24"/>
        </w:rPr>
        <w:t xml:space="preserve"> - nemcsak a </w:t>
      </w:r>
      <w:r w:rsidRPr="00985ABA">
        <w:rPr>
          <w:rFonts w:ascii="Times New Roman" w:hAnsi="Times New Roman" w:cs="Times New Roman"/>
          <w:sz w:val="24"/>
          <w:szCs w:val="24"/>
        </w:rPr>
        <w:t>mérendő szolgáltatásminőségi paramétereket</w:t>
      </w:r>
      <w:r w:rsidR="006E6F74">
        <w:rPr>
          <w:rFonts w:ascii="Times New Roman" w:hAnsi="Times New Roman" w:cs="Times New Roman"/>
          <w:sz w:val="24"/>
          <w:szCs w:val="24"/>
        </w:rPr>
        <w:t>,</w:t>
      </w:r>
      <w:r w:rsidRPr="00985ABA">
        <w:rPr>
          <w:rFonts w:ascii="Times New Roman" w:hAnsi="Times New Roman" w:cs="Times New Roman"/>
          <w:sz w:val="24"/>
          <w:szCs w:val="24"/>
        </w:rPr>
        <w:t xml:space="preserve"> </w:t>
      </w:r>
      <w:r>
        <w:rPr>
          <w:rFonts w:ascii="Times New Roman" w:hAnsi="Times New Roman" w:cs="Times New Roman"/>
          <w:sz w:val="24"/>
          <w:szCs w:val="24"/>
        </w:rPr>
        <w:t xml:space="preserve">hanem az alkalmazandó </w:t>
      </w:r>
      <w:r w:rsidRPr="00985ABA">
        <w:rPr>
          <w:rFonts w:ascii="Times New Roman" w:hAnsi="Times New Roman" w:cs="Times New Roman"/>
          <w:sz w:val="24"/>
          <w:szCs w:val="24"/>
        </w:rPr>
        <w:t>mérési módszereket</w:t>
      </w:r>
      <w:r>
        <w:rPr>
          <w:rFonts w:ascii="Times New Roman" w:hAnsi="Times New Roman" w:cs="Times New Roman"/>
          <w:sz w:val="24"/>
          <w:szCs w:val="24"/>
        </w:rPr>
        <w:t xml:space="preserve"> is meghatározhatják majd a</w:t>
      </w:r>
      <w:r w:rsidRPr="00985ABA">
        <w:rPr>
          <w:rFonts w:ascii="Times New Roman" w:hAnsi="Times New Roman" w:cs="Times New Roman"/>
          <w:sz w:val="24"/>
          <w:szCs w:val="24"/>
        </w:rPr>
        <w:t>z internet-hozzáférési szolgáltatások és a nyilvánosan elérhető személyközi hí</w:t>
      </w:r>
      <w:r>
        <w:rPr>
          <w:rFonts w:ascii="Times New Roman" w:hAnsi="Times New Roman" w:cs="Times New Roman"/>
          <w:sz w:val="24"/>
          <w:szCs w:val="24"/>
        </w:rPr>
        <w:t>rközlési szolgáltatások minőségét illetően.</w:t>
      </w:r>
    </w:p>
    <w:p w14:paraId="45C19902" w14:textId="77777777" w:rsidR="00985ABA" w:rsidRPr="00D71053" w:rsidRDefault="00D71053" w:rsidP="00985ABA">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2.9. </w:t>
      </w:r>
      <w:r w:rsidR="00985ABA" w:rsidRPr="00D71053">
        <w:rPr>
          <w:rFonts w:ascii="Times New Roman" w:hAnsi="Times New Roman" w:cs="Times New Roman"/>
          <w:b/>
          <w:sz w:val="24"/>
          <w:szCs w:val="24"/>
        </w:rPr>
        <w:t>A szolgál</w:t>
      </w:r>
      <w:r w:rsidR="00A91EC8" w:rsidRPr="00D71053">
        <w:rPr>
          <w:rFonts w:ascii="Times New Roman" w:hAnsi="Times New Roman" w:cs="Times New Roman"/>
          <w:b/>
          <w:sz w:val="24"/>
          <w:szCs w:val="24"/>
        </w:rPr>
        <w:t>tató</w:t>
      </w:r>
      <w:r w:rsidR="00985ABA" w:rsidRPr="00D71053">
        <w:rPr>
          <w:rFonts w:ascii="Times New Roman" w:hAnsi="Times New Roman" w:cs="Times New Roman"/>
          <w:b/>
          <w:sz w:val="24"/>
          <w:szCs w:val="24"/>
        </w:rPr>
        <w:t>váltást elősegítő rendelkezések</w:t>
      </w:r>
    </w:p>
    <w:p w14:paraId="2F17AF6E" w14:textId="496268C7" w:rsidR="00985ABA" w:rsidRDefault="00121002" w:rsidP="00985ABA">
      <w:pPr>
        <w:jc w:val="both"/>
        <w:rPr>
          <w:rFonts w:ascii="Times New Roman" w:hAnsi="Times New Roman" w:cs="Times New Roman"/>
          <w:sz w:val="24"/>
          <w:szCs w:val="24"/>
        </w:rPr>
      </w:pPr>
      <w:r>
        <w:rPr>
          <w:rFonts w:ascii="Times New Roman" w:hAnsi="Times New Roman" w:cs="Times New Roman"/>
          <w:sz w:val="24"/>
          <w:szCs w:val="24"/>
        </w:rPr>
        <w:t>A fogyasztó, illetve</w:t>
      </w:r>
      <w:r w:rsidR="00960968">
        <w:rPr>
          <w:rFonts w:ascii="Times New Roman" w:hAnsi="Times New Roman" w:cs="Times New Roman"/>
          <w:sz w:val="24"/>
          <w:szCs w:val="24"/>
        </w:rPr>
        <w:t xml:space="preserve"> a </w:t>
      </w:r>
      <w:r w:rsidR="00985ABA" w:rsidRPr="00985ABA">
        <w:rPr>
          <w:rFonts w:ascii="Times New Roman" w:hAnsi="Times New Roman" w:cs="Times New Roman"/>
          <w:sz w:val="24"/>
          <w:szCs w:val="24"/>
        </w:rPr>
        <w:t>számfüggetlen személyközi hí</w:t>
      </w:r>
      <w:r w:rsidR="00960968">
        <w:rPr>
          <w:rFonts w:ascii="Times New Roman" w:hAnsi="Times New Roman" w:cs="Times New Roman"/>
          <w:sz w:val="24"/>
          <w:szCs w:val="24"/>
        </w:rPr>
        <w:t xml:space="preserve">rközlési szolgáltatásoktól és a </w:t>
      </w:r>
      <w:r w:rsidR="00985ABA" w:rsidRPr="00985ABA">
        <w:rPr>
          <w:rFonts w:ascii="Times New Roman" w:hAnsi="Times New Roman" w:cs="Times New Roman"/>
          <w:sz w:val="24"/>
          <w:szCs w:val="24"/>
        </w:rPr>
        <w:t xml:space="preserve">gépek közötti szolgáltatások nyújtására használt átviteli szolgáltatásoktól </w:t>
      </w:r>
      <w:r w:rsidR="00EA1E59">
        <w:rPr>
          <w:rFonts w:ascii="Times New Roman" w:hAnsi="Times New Roman" w:cs="Times New Roman"/>
          <w:sz w:val="24"/>
          <w:szCs w:val="24"/>
        </w:rPr>
        <w:t xml:space="preserve">(M2M) </w:t>
      </w:r>
      <w:r w:rsidR="00985ABA" w:rsidRPr="00985ABA">
        <w:rPr>
          <w:rFonts w:ascii="Times New Roman" w:hAnsi="Times New Roman" w:cs="Times New Roman"/>
          <w:sz w:val="24"/>
          <w:szCs w:val="24"/>
        </w:rPr>
        <w:t>eltérő, ny</w:t>
      </w:r>
      <w:r w:rsidR="00960968">
        <w:rPr>
          <w:rFonts w:ascii="Times New Roman" w:hAnsi="Times New Roman" w:cs="Times New Roman"/>
          <w:sz w:val="24"/>
          <w:szCs w:val="24"/>
        </w:rPr>
        <w:t xml:space="preserve">ilvánosan elérhető elektronikus </w:t>
      </w:r>
      <w:r w:rsidR="00985ABA" w:rsidRPr="00985ABA">
        <w:rPr>
          <w:rFonts w:ascii="Times New Roman" w:hAnsi="Times New Roman" w:cs="Times New Roman"/>
          <w:sz w:val="24"/>
          <w:szCs w:val="24"/>
        </w:rPr>
        <w:t xml:space="preserve">hírközlési szolgáltatások nyújtói közötti </w:t>
      </w:r>
      <w:r w:rsidR="00960968">
        <w:rPr>
          <w:rFonts w:ascii="Times New Roman" w:hAnsi="Times New Roman" w:cs="Times New Roman"/>
          <w:sz w:val="24"/>
          <w:szCs w:val="24"/>
        </w:rPr>
        <w:t xml:space="preserve">határozott idejű </w:t>
      </w:r>
      <w:r w:rsidR="00985ABA" w:rsidRPr="00985ABA">
        <w:rPr>
          <w:rFonts w:ascii="Times New Roman" w:hAnsi="Times New Roman" w:cs="Times New Roman"/>
          <w:sz w:val="24"/>
          <w:szCs w:val="24"/>
        </w:rPr>
        <w:t>szerződések időtartama ne</w:t>
      </w:r>
      <w:r w:rsidR="00960968">
        <w:rPr>
          <w:rFonts w:ascii="Times New Roman" w:hAnsi="Times New Roman" w:cs="Times New Roman"/>
          <w:sz w:val="24"/>
          <w:szCs w:val="24"/>
        </w:rPr>
        <w:t>m</w:t>
      </w:r>
      <w:r w:rsidR="00985ABA" w:rsidRPr="00985ABA">
        <w:rPr>
          <w:rFonts w:ascii="Times New Roman" w:hAnsi="Times New Roman" w:cs="Times New Roman"/>
          <w:sz w:val="24"/>
          <w:szCs w:val="24"/>
        </w:rPr>
        <w:t xml:space="preserve"> halad</w:t>
      </w:r>
      <w:r w:rsidR="00960968">
        <w:rPr>
          <w:rFonts w:ascii="Times New Roman" w:hAnsi="Times New Roman" w:cs="Times New Roman"/>
          <w:sz w:val="24"/>
          <w:szCs w:val="24"/>
        </w:rPr>
        <w:t xml:space="preserve">hatja meg a 24 hónapot. A tagállamok továbbra is </w:t>
      </w:r>
      <w:r w:rsidR="00985ABA" w:rsidRPr="00985ABA">
        <w:rPr>
          <w:rFonts w:ascii="Times New Roman" w:hAnsi="Times New Roman" w:cs="Times New Roman"/>
          <w:sz w:val="24"/>
          <w:szCs w:val="24"/>
        </w:rPr>
        <w:t>elfogadhatnak vagy fenntarthatnak olyan rend</w:t>
      </w:r>
      <w:r w:rsidR="00960968">
        <w:rPr>
          <w:rFonts w:ascii="Times New Roman" w:hAnsi="Times New Roman" w:cs="Times New Roman"/>
          <w:sz w:val="24"/>
          <w:szCs w:val="24"/>
        </w:rPr>
        <w:t>elkezéseket, amelyek értelmében ez az időtartam</w:t>
      </w:r>
      <w:r w:rsidR="00985ABA" w:rsidRPr="00985ABA">
        <w:rPr>
          <w:rFonts w:ascii="Times New Roman" w:hAnsi="Times New Roman" w:cs="Times New Roman"/>
          <w:sz w:val="24"/>
          <w:szCs w:val="24"/>
        </w:rPr>
        <w:t xml:space="preserve"> ennél rövidebb is lehet.</w:t>
      </w:r>
      <w:r w:rsidR="00960968">
        <w:rPr>
          <w:rFonts w:ascii="Times New Roman" w:hAnsi="Times New Roman" w:cs="Times New Roman"/>
          <w:sz w:val="24"/>
          <w:szCs w:val="24"/>
        </w:rPr>
        <w:t xml:space="preserve"> Ugyanakkor ez a megszorítás </w:t>
      </w:r>
      <w:r w:rsidR="00985ABA" w:rsidRPr="00985ABA">
        <w:rPr>
          <w:rFonts w:ascii="Times New Roman" w:hAnsi="Times New Roman" w:cs="Times New Roman"/>
          <w:sz w:val="24"/>
          <w:szCs w:val="24"/>
        </w:rPr>
        <w:t>nem vonatkozik az olyan részletfizetési szerződések időtartamára, amelyek</w:t>
      </w:r>
      <w:r w:rsidR="00960968">
        <w:rPr>
          <w:rFonts w:ascii="Times New Roman" w:hAnsi="Times New Roman" w:cs="Times New Roman"/>
          <w:sz w:val="24"/>
          <w:szCs w:val="24"/>
        </w:rPr>
        <w:t xml:space="preserve"> esetében a fogyasztó egy külön </w:t>
      </w:r>
      <w:r w:rsidR="00EA1E59">
        <w:rPr>
          <w:rFonts w:ascii="Times New Roman" w:hAnsi="Times New Roman" w:cs="Times New Roman"/>
          <w:sz w:val="24"/>
          <w:szCs w:val="24"/>
        </w:rPr>
        <w:t>szerződésben vállalj</w:t>
      </w:r>
      <w:r w:rsidR="00985ABA" w:rsidRPr="00985ABA">
        <w:rPr>
          <w:rFonts w:ascii="Times New Roman" w:hAnsi="Times New Roman" w:cs="Times New Roman"/>
          <w:sz w:val="24"/>
          <w:szCs w:val="24"/>
        </w:rPr>
        <w:t xml:space="preserve">a, hogy kizárólag a </w:t>
      </w:r>
      <w:r w:rsidR="00985ABA" w:rsidRPr="00985ABA">
        <w:rPr>
          <w:rFonts w:ascii="Times New Roman" w:hAnsi="Times New Roman" w:cs="Times New Roman"/>
          <w:sz w:val="24"/>
          <w:szCs w:val="24"/>
        </w:rPr>
        <w:lastRenderedPageBreak/>
        <w:t>fizikai összeköttetés létrehozását részletekben fiz</w:t>
      </w:r>
      <w:r w:rsidR="00960968">
        <w:rPr>
          <w:rFonts w:ascii="Times New Roman" w:hAnsi="Times New Roman" w:cs="Times New Roman"/>
          <w:sz w:val="24"/>
          <w:szCs w:val="24"/>
        </w:rPr>
        <w:t xml:space="preserve">eti, különösen az ún. rendkívül nagy </w:t>
      </w:r>
      <w:r w:rsidR="00985ABA" w:rsidRPr="00985ABA">
        <w:rPr>
          <w:rFonts w:ascii="Times New Roman" w:hAnsi="Times New Roman" w:cs="Times New Roman"/>
          <w:sz w:val="24"/>
          <w:szCs w:val="24"/>
        </w:rPr>
        <w:t xml:space="preserve">kapacitású hálózatokkal való összeköttetés esetén. </w:t>
      </w:r>
    </w:p>
    <w:p w14:paraId="3AB1D04D" w14:textId="0E5A3462" w:rsidR="008A42E8" w:rsidRDefault="00151375" w:rsidP="008A42E8">
      <w:pPr>
        <w:jc w:val="both"/>
        <w:rPr>
          <w:rFonts w:ascii="Times New Roman" w:hAnsi="Times New Roman" w:cs="Times New Roman"/>
          <w:sz w:val="24"/>
          <w:szCs w:val="24"/>
        </w:rPr>
      </w:pPr>
      <w:r>
        <w:rPr>
          <w:rFonts w:ascii="Times New Roman" w:hAnsi="Times New Roman" w:cs="Times New Roman"/>
          <w:sz w:val="24"/>
          <w:szCs w:val="24"/>
        </w:rPr>
        <w:t>A Kódex</w:t>
      </w:r>
      <w:r w:rsidR="00A91EC8">
        <w:rPr>
          <w:rFonts w:ascii="Times New Roman" w:hAnsi="Times New Roman" w:cs="Times New Roman"/>
          <w:sz w:val="24"/>
          <w:szCs w:val="24"/>
        </w:rPr>
        <w:t xml:space="preserve"> a magyarhoz hasonló</w:t>
      </w:r>
      <w:r>
        <w:rPr>
          <w:rFonts w:ascii="Times New Roman" w:hAnsi="Times New Roman" w:cs="Times New Roman"/>
          <w:sz w:val="24"/>
          <w:szCs w:val="24"/>
        </w:rPr>
        <w:t xml:space="preserve"> szigorú és részletes szabályokat </w:t>
      </w:r>
      <w:r w:rsidR="00A91EC8">
        <w:rPr>
          <w:rFonts w:ascii="Times New Roman" w:hAnsi="Times New Roman" w:cs="Times New Roman"/>
          <w:sz w:val="24"/>
          <w:szCs w:val="24"/>
        </w:rPr>
        <w:t xml:space="preserve">tartalmaz </w:t>
      </w:r>
      <w:r>
        <w:rPr>
          <w:rFonts w:ascii="Times New Roman" w:hAnsi="Times New Roman" w:cs="Times New Roman"/>
          <w:sz w:val="24"/>
          <w:szCs w:val="24"/>
        </w:rPr>
        <w:t>a szerződések módosítására és megszüntetésére</w:t>
      </w:r>
      <w:r w:rsidR="00912B93">
        <w:rPr>
          <w:rFonts w:ascii="Times New Roman" w:hAnsi="Times New Roman" w:cs="Times New Roman"/>
          <w:sz w:val="24"/>
          <w:szCs w:val="24"/>
        </w:rPr>
        <w:t>,</w:t>
      </w:r>
      <w:r>
        <w:rPr>
          <w:rFonts w:ascii="Times New Roman" w:hAnsi="Times New Roman" w:cs="Times New Roman"/>
          <w:sz w:val="24"/>
          <w:szCs w:val="24"/>
        </w:rPr>
        <w:t xml:space="preserve"> továbbá rendelkezik a szolgáltatóváltás al</w:t>
      </w:r>
      <w:r w:rsidR="00EA1E59">
        <w:rPr>
          <w:rFonts w:ascii="Times New Roman" w:hAnsi="Times New Roman" w:cs="Times New Roman"/>
          <w:sz w:val="24"/>
          <w:szCs w:val="24"/>
        </w:rPr>
        <w:t>apvető szabályairól az internet-</w:t>
      </w:r>
      <w:r>
        <w:rPr>
          <w:rFonts w:ascii="Times New Roman" w:hAnsi="Times New Roman" w:cs="Times New Roman"/>
          <w:sz w:val="24"/>
          <w:szCs w:val="24"/>
        </w:rPr>
        <w:t>hozzáférés</w:t>
      </w:r>
      <w:r w:rsidR="00912B93">
        <w:rPr>
          <w:rFonts w:ascii="Times New Roman" w:hAnsi="Times New Roman" w:cs="Times New Roman"/>
          <w:sz w:val="24"/>
          <w:szCs w:val="24"/>
        </w:rPr>
        <w:t>i</w:t>
      </w:r>
      <w:r>
        <w:rPr>
          <w:rFonts w:ascii="Times New Roman" w:hAnsi="Times New Roman" w:cs="Times New Roman"/>
          <w:sz w:val="24"/>
          <w:szCs w:val="24"/>
        </w:rPr>
        <w:t xml:space="preserve"> szolgáltatás vonatkozásában</w:t>
      </w:r>
      <w:r w:rsidR="00912B93">
        <w:rPr>
          <w:rFonts w:ascii="Times New Roman" w:hAnsi="Times New Roman" w:cs="Times New Roman"/>
          <w:sz w:val="24"/>
          <w:szCs w:val="24"/>
        </w:rPr>
        <w:t>,</w:t>
      </w:r>
      <w:r>
        <w:rPr>
          <w:rFonts w:ascii="Times New Roman" w:hAnsi="Times New Roman" w:cs="Times New Roman"/>
          <w:sz w:val="24"/>
          <w:szCs w:val="24"/>
        </w:rPr>
        <w:t xml:space="preserve"> és pontosítja a számhordozhatósággal kapcsolatos előírásokat. Ami viszont teljes újdonság, hogy kifejezetten </w:t>
      </w:r>
      <w:r w:rsidR="0004606E">
        <w:rPr>
          <w:rFonts w:ascii="Times New Roman" w:hAnsi="Times New Roman" w:cs="Times New Roman"/>
          <w:sz w:val="24"/>
          <w:szCs w:val="24"/>
        </w:rPr>
        <w:t xml:space="preserve">az elektronikus hírközlési szolgáltatók csomagajánlatait célzó </w:t>
      </w:r>
      <w:r>
        <w:rPr>
          <w:rFonts w:ascii="Times New Roman" w:hAnsi="Times New Roman" w:cs="Times New Roman"/>
          <w:sz w:val="24"/>
          <w:szCs w:val="24"/>
        </w:rPr>
        <w:t xml:space="preserve">követelményeket is </w:t>
      </w:r>
      <w:r w:rsidR="00A91EC8">
        <w:rPr>
          <w:rFonts w:ascii="Times New Roman" w:hAnsi="Times New Roman" w:cs="Times New Roman"/>
          <w:sz w:val="24"/>
          <w:szCs w:val="24"/>
        </w:rPr>
        <w:t xml:space="preserve">bevezet a szolgáltatóváltás elősegítése érdekében, mert a jogalkotó úgy ítélte meg, hogy </w:t>
      </w:r>
      <w:r w:rsidR="008A42E8">
        <w:rPr>
          <w:rFonts w:ascii="Times New Roman" w:hAnsi="Times New Roman" w:cs="Times New Roman"/>
          <w:sz w:val="24"/>
          <w:szCs w:val="24"/>
        </w:rPr>
        <w:t>j</w:t>
      </w:r>
      <w:r w:rsidR="00A91EC8" w:rsidRPr="00A91EC8">
        <w:rPr>
          <w:rFonts w:ascii="Times New Roman" w:hAnsi="Times New Roman" w:cs="Times New Roman"/>
          <w:sz w:val="24"/>
          <w:szCs w:val="24"/>
        </w:rPr>
        <w:t xml:space="preserve">óllehet </w:t>
      </w:r>
      <w:r w:rsidR="0004606E">
        <w:rPr>
          <w:rFonts w:ascii="Times New Roman" w:hAnsi="Times New Roman" w:cs="Times New Roman"/>
          <w:sz w:val="24"/>
          <w:szCs w:val="24"/>
        </w:rPr>
        <w:t>a szolgáltatás</w:t>
      </w:r>
      <w:r w:rsidR="00A91EC8" w:rsidRPr="00A91EC8">
        <w:rPr>
          <w:rFonts w:ascii="Times New Roman" w:hAnsi="Times New Roman" w:cs="Times New Roman"/>
          <w:sz w:val="24"/>
          <w:szCs w:val="24"/>
        </w:rPr>
        <w:t>csomagok sokszor előnyösek a fogyasztók szempont</w:t>
      </w:r>
      <w:r w:rsidR="00A91EC8">
        <w:rPr>
          <w:rFonts w:ascii="Times New Roman" w:hAnsi="Times New Roman" w:cs="Times New Roman"/>
          <w:sz w:val="24"/>
          <w:szCs w:val="24"/>
        </w:rPr>
        <w:t xml:space="preserve">jából, megnehezíthetik, illetve </w:t>
      </w:r>
      <w:r w:rsidR="00A91EC8" w:rsidRPr="00A91EC8">
        <w:rPr>
          <w:rFonts w:ascii="Times New Roman" w:hAnsi="Times New Roman" w:cs="Times New Roman"/>
          <w:sz w:val="24"/>
          <w:szCs w:val="24"/>
        </w:rPr>
        <w:t xml:space="preserve">költségessé tehetik a szolgáltatóváltást, és a </w:t>
      </w:r>
      <w:r w:rsidR="008A42E8">
        <w:rPr>
          <w:rFonts w:ascii="Times New Roman" w:hAnsi="Times New Roman" w:cs="Times New Roman"/>
          <w:sz w:val="24"/>
          <w:szCs w:val="24"/>
        </w:rPr>
        <w:t xml:space="preserve">végfelhasználók </w:t>
      </w:r>
      <w:r w:rsidR="00A91EC8" w:rsidRPr="00A91EC8">
        <w:rPr>
          <w:rFonts w:ascii="Times New Roman" w:hAnsi="Times New Roman" w:cs="Times New Roman"/>
          <w:sz w:val="24"/>
          <w:szCs w:val="24"/>
        </w:rPr>
        <w:t xml:space="preserve">szerződéses foglyul ejtését idézhetik </w:t>
      </w:r>
      <w:r w:rsidR="00A91EC8">
        <w:rPr>
          <w:rFonts w:ascii="Times New Roman" w:hAnsi="Times New Roman" w:cs="Times New Roman"/>
          <w:sz w:val="24"/>
          <w:szCs w:val="24"/>
        </w:rPr>
        <w:t>elő</w:t>
      </w:r>
      <w:r w:rsidR="0004606E">
        <w:rPr>
          <w:rFonts w:ascii="Times New Roman" w:hAnsi="Times New Roman" w:cs="Times New Roman"/>
          <w:sz w:val="24"/>
          <w:szCs w:val="24"/>
        </w:rPr>
        <w:t>.</w:t>
      </w:r>
      <w:r w:rsidR="0004606E">
        <w:rPr>
          <w:rStyle w:val="FootnoteReference"/>
          <w:rFonts w:ascii="Times New Roman" w:hAnsi="Times New Roman" w:cs="Times New Roman"/>
          <w:sz w:val="24"/>
          <w:szCs w:val="24"/>
        </w:rPr>
        <w:footnoteReference w:id="18"/>
      </w:r>
      <w:r w:rsidR="008A42E8">
        <w:rPr>
          <w:rFonts w:ascii="Times New Roman" w:hAnsi="Times New Roman" w:cs="Times New Roman"/>
          <w:sz w:val="24"/>
          <w:szCs w:val="24"/>
        </w:rPr>
        <w:t xml:space="preserve"> </w:t>
      </w:r>
      <w:r w:rsidR="008A42E8" w:rsidRPr="008A42E8">
        <w:rPr>
          <w:rFonts w:ascii="Times New Roman" w:hAnsi="Times New Roman" w:cs="Times New Roman"/>
          <w:sz w:val="24"/>
          <w:szCs w:val="24"/>
        </w:rPr>
        <w:t>E</w:t>
      </w:r>
      <w:r w:rsidR="008A42E8">
        <w:rPr>
          <w:rFonts w:ascii="Times New Roman" w:hAnsi="Times New Roman" w:cs="Times New Roman"/>
          <w:sz w:val="24"/>
          <w:szCs w:val="24"/>
        </w:rPr>
        <w:t xml:space="preserve">zért a Kódex úgy rendelkezik, </w:t>
      </w:r>
      <w:r w:rsidR="00A70973">
        <w:rPr>
          <w:rFonts w:ascii="Times New Roman" w:hAnsi="Times New Roman" w:cs="Times New Roman"/>
          <w:sz w:val="24"/>
          <w:szCs w:val="24"/>
        </w:rPr>
        <w:t>amennyiben</w:t>
      </w:r>
      <w:r w:rsidR="00A70973" w:rsidRPr="008A42E8">
        <w:rPr>
          <w:rFonts w:ascii="Times New Roman" w:hAnsi="Times New Roman" w:cs="Times New Roman"/>
          <w:sz w:val="24"/>
          <w:szCs w:val="24"/>
        </w:rPr>
        <w:t xml:space="preserve"> a szolgáltatáscsomag</w:t>
      </w:r>
      <w:r w:rsidR="000352BD">
        <w:rPr>
          <w:rFonts w:ascii="Times New Roman" w:hAnsi="Times New Roman" w:cs="Times New Roman"/>
          <w:sz w:val="24"/>
          <w:szCs w:val="24"/>
        </w:rPr>
        <w:t>,</w:t>
      </w:r>
      <w:r w:rsidR="00A70973" w:rsidRPr="008A42E8">
        <w:rPr>
          <w:rFonts w:ascii="Times New Roman" w:hAnsi="Times New Roman" w:cs="Times New Roman"/>
          <w:sz w:val="24"/>
          <w:szCs w:val="24"/>
        </w:rPr>
        <w:t xml:space="preserve"> vagy szolgáltatásokból </w:t>
      </w:r>
      <w:r w:rsidR="00A70973">
        <w:rPr>
          <w:rFonts w:ascii="Times New Roman" w:hAnsi="Times New Roman" w:cs="Times New Roman"/>
          <w:sz w:val="24"/>
          <w:szCs w:val="24"/>
        </w:rPr>
        <w:t xml:space="preserve">és végberendezésből álló csomag </w:t>
      </w:r>
      <w:r w:rsidR="00A70973" w:rsidRPr="008A42E8">
        <w:rPr>
          <w:rFonts w:ascii="Times New Roman" w:hAnsi="Times New Roman" w:cs="Times New Roman"/>
          <w:sz w:val="24"/>
          <w:szCs w:val="24"/>
        </w:rPr>
        <w:t>tartalmaz legalább egy internet-hozzáférési szolgáltatást</w:t>
      </w:r>
      <w:r w:rsidR="000352BD">
        <w:rPr>
          <w:rFonts w:ascii="Times New Roman" w:hAnsi="Times New Roman" w:cs="Times New Roman"/>
          <w:sz w:val="24"/>
          <w:szCs w:val="24"/>
        </w:rPr>
        <w:t>,</w:t>
      </w:r>
      <w:r w:rsidR="00A70973" w:rsidRPr="008A42E8">
        <w:rPr>
          <w:rFonts w:ascii="Times New Roman" w:hAnsi="Times New Roman" w:cs="Times New Roman"/>
          <w:sz w:val="24"/>
          <w:szCs w:val="24"/>
        </w:rPr>
        <w:t xml:space="preserve"> vagy egy nyilvánosan elérhető, s</w:t>
      </w:r>
      <w:r w:rsidR="00A70973">
        <w:rPr>
          <w:rFonts w:ascii="Times New Roman" w:hAnsi="Times New Roman" w:cs="Times New Roman"/>
          <w:sz w:val="24"/>
          <w:szCs w:val="24"/>
        </w:rPr>
        <w:t xml:space="preserve">zámfüggő személyközi hírközlési </w:t>
      </w:r>
      <w:r w:rsidR="00A70973" w:rsidRPr="008A42E8">
        <w:rPr>
          <w:rFonts w:ascii="Times New Roman" w:hAnsi="Times New Roman" w:cs="Times New Roman"/>
          <w:sz w:val="24"/>
          <w:szCs w:val="24"/>
        </w:rPr>
        <w:t>szolgáltatást</w:t>
      </w:r>
      <w:r w:rsidR="0004606E">
        <w:rPr>
          <w:rFonts w:ascii="Times New Roman" w:hAnsi="Times New Roman" w:cs="Times New Roman"/>
          <w:sz w:val="24"/>
          <w:szCs w:val="24"/>
        </w:rPr>
        <w:t>,</w:t>
      </w:r>
      <w:r w:rsidR="00A70973">
        <w:rPr>
          <w:rFonts w:ascii="Times New Roman" w:hAnsi="Times New Roman" w:cs="Times New Roman"/>
          <w:sz w:val="24"/>
          <w:szCs w:val="24"/>
        </w:rPr>
        <w:t xml:space="preserve"> </w:t>
      </w:r>
      <w:r w:rsidR="008A42E8" w:rsidRPr="008A42E8">
        <w:rPr>
          <w:rFonts w:ascii="Times New Roman" w:hAnsi="Times New Roman" w:cs="Times New Roman"/>
          <w:sz w:val="24"/>
          <w:szCs w:val="24"/>
        </w:rPr>
        <w:t xml:space="preserve">a </w:t>
      </w:r>
      <w:r w:rsidR="00A70973">
        <w:rPr>
          <w:rFonts w:ascii="Times New Roman" w:hAnsi="Times New Roman" w:cs="Times New Roman"/>
          <w:sz w:val="24"/>
          <w:szCs w:val="24"/>
        </w:rPr>
        <w:t xml:space="preserve">Kódex </w:t>
      </w:r>
      <w:r w:rsidR="008A42E8" w:rsidRPr="008A42E8">
        <w:rPr>
          <w:rFonts w:ascii="Times New Roman" w:hAnsi="Times New Roman" w:cs="Times New Roman"/>
          <w:sz w:val="24"/>
          <w:szCs w:val="24"/>
        </w:rPr>
        <w:t>szerződés adatait összefoglaló dokumentumra, az átláthatóságra, a szerződés időtartamára és felmondására, valamint a szolgáltatóvá</w:t>
      </w:r>
      <w:r w:rsidR="008A42E8">
        <w:rPr>
          <w:rFonts w:ascii="Times New Roman" w:hAnsi="Times New Roman" w:cs="Times New Roman"/>
          <w:sz w:val="24"/>
          <w:szCs w:val="24"/>
        </w:rPr>
        <w:t xml:space="preserve">ltásra vonatkozó </w:t>
      </w:r>
      <w:r w:rsidR="00A70973">
        <w:rPr>
          <w:rFonts w:ascii="Times New Roman" w:hAnsi="Times New Roman" w:cs="Times New Roman"/>
          <w:sz w:val="24"/>
          <w:szCs w:val="24"/>
        </w:rPr>
        <w:t>rendelkezéseit</w:t>
      </w:r>
      <w:r w:rsidR="008A42E8" w:rsidRPr="008A42E8">
        <w:rPr>
          <w:rFonts w:ascii="Times New Roman" w:hAnsi="Times New Roman" w:cs="Times New Roman"/>
          <w:sz w:val="24"/>
          <w:szCs w:val="24"/>
        </w:rPr>
        <w:t xml:space="preserve"> a csomag minden elemére alkalmazni kell, </w:t>
      </w:r>
      <w:r w:rsidR="00A70973">
        <w:rPr>
          <w:rFonts w:ascii="Times New Roman" w:hAnsi="Times New Roman" w:cs="Times New Roman"/>
          <w:sz w:val="24"/>
          <w:szCs w:val="24"/>
        </w:rPr>
        <w:t xml:space="preserve">ideértve például azokat </w:t>
      </w:r>
      <w:r w:rsidR="00A70973" w:rsidRPr="008A42E8">
        <w:rPr>
          <w:rFonts w:ascii="Times New Roman" w:hAnsi="Times New Roman" w:cs="Times New Roman"/>
          <w:sz w:val="24"/>
          <w:szCs w:val="24"/>
        </w:rPr>
        <w:t>a digitális szolgáltatások</w:t>
      </w:r>
      <w:r w:rsidR="00A70973">
        <w:rPr>
          <w:rFonts w:ascii="Times New Roman" w:hAnsi="Times New Roman" w:cs="Times New Roman"/>
          <w:sz w:val="24"/>
          <w:szCs w:val="24"/>
        </w:rPr>
        <w:t>at</w:t>
      </w:r>
      <w:r w:rsidR="00A70973" w:rsidRPr="008A42E8">
        <w:rPr>
          <w:rFonts w:ascii="Times New Roman" w:hAnsi="Times New Roman" w:cs="Times New Roman"/>
          <w:sz w:val="24"/>
          <w:szCs w:val="24"/>
        </w:rPr>
        <w:t xml:space="preserve">, </w:t>
      </w:r>
      <w:r w:rsidR="00A70973">
        <w:rPr>
          <w:rFonts w:ascii="Times New Roman" w:hAnsi="Times New Roman" w:cs="Times New Roman"/>
          <w:sz w:val="24"/>
          <w:szCs w:val="24"/>
        </w:rPr>
        <w:t xml:space="preserve">műsorszolgáltatásokat, végberendezéseket, </w:t>
      </w:r>
      <w:r w:rsidR="00A70973" w:rsidRPr="008A42E8">
        <w:rPr>
          <w:rFonts w:ascii="Times New Roman" w:hAnsi="Times New Roman" w:cs="Times New Roman"/>
          <w:sz w:val="24"/>
          <w:szCs w:val="24"/>
        </w:rPr>
        <w:t>amelyek nem tartoznak közvetlenül e rendelkezések hatálya alá.</w:t>
      </w:r>
    </w:p>
    <w:p w14:paraId="5290DC6F" w14:textId="77777777" w:rsidR="008A42E8" w:rsidRPr="00D71053" w:rsidRDefault="00D71053" w:rsidP="008A42E8">
      <w:pPr>
        <w:jc w:val="both"/>
        <w:rPr>
          <w:rFonts w:ascii="Times New Roman" w:hAnsi="Times New Roman" w:cs="Times New Roman"/>
          <w:b/>
          <w:sz w:val="24"/>
          <w:szCs w:val="24"/>
        </w:rPr>
      </w:pPr>
      <w:r w:rsidRPr="00D71053">
        <w:rPr>
          <w:rFonts w:ascii="Times New Roman" w:hAnsi="Times New Roman" w:cs="Times New Roman"/>
          <w:b/>
          <w:sz w:val="24"/>
          <w:szCs w:val="24"/>
        </w:rPr>
        <w:t xml:space="preserve">2.10. </w:t>
      </w:r>
      <w:r w:rsidR="00A70973" w:rsidRPr="00D71053">
        <w:rPr>
          <w:rFonts w:ascii="Times New Roman" w:hAnsi="Times New Roman" w:cs="Times New Roman"/>
          <w:b/>
          <w:sz w:val="24"/>
          <w:szCs w:val="24"/>
        </w:rPr>
        <w:t>Segélyhívási célú illetve vészhelyzeti kommunikáció</w:t>
      </w:r>
    </w:p>
    <w:p w14:paraId="1A656C96" w14:textId="359854B7" w:rsidR="00E5647C" w:rsidRDefault="00E5647C" w:rsidP="00E5647C">
      <w:pPr>
        <w:jc w:val="both"/>
        <w:rPr>
          <w:rFonts w:ascii="Times New Roman" w:hAnsi="Times New Roman" w:cs="Times New Roman"/>
          <w:sz w:val="24"/>
          <w:szCs w:val="24"/>
        </w:rPr>
      </w:pPr>
      <w:r>
        <w:rPr>
          <w:rFonts w:ascii="Times New Roman" w:hAnsi="Times New Roman" w:cs="Times New Roman"/>
          <w:sz w:val="24"/>
          <w:szCs w:val="24"/>
        </w:rPr>
        <w:t xml:space="preserve">A segélyhívó </w:t>
      </w:r>
      <w:r w:rsidRPr="00E5647C">
        <w:rPr>
          <w:rFonts w:ascii="Times New Roman" w:hAnsi="Times New Roman" w:cs="Times New Roman"/>
          <w:sz w:val="24"/>
          <w:szCs w:val="24"/>
        </w:rPr>
        <w:t>szolgálatok segélyhívási célú k</w:t>
      </w:r>
      <w:r>
        <w:rPr>
          <w:rFonts w:ascii="Times New Roman" w:hAnsi="Times New Roman" w:cs="Times New Roman"/>
          <w:sz w:val="24"/>
          <w:szCs w:val="24"/>
        </w:rPr>
        <w:t>ommunikáció útján való elérésére vonatkozó szabályozás alapvetően technológiai változásokkal indokolt frissítése mellet</w:t>
      </w:r>
      <w:r w:rsidR="000352BD">
        <w:rPr>
          <w:rFonts w:ascii="Times New Roman" w:hAnsi="Times New Roman" w:cs="Times New Roman"/>
          <w:sz w:val="24"/>
          <w:szCs w:val="24"/>
        </w:rPr>
        <w:t>t</w:t>
      </w:r>
      <w:r>
        <w:rPr>
          <w:rFonts w:ascii="Times New Roman" w:hAnsi="Times New Roman" w:cs="Times New Roman"/>
          <w:sz w:val="24"/>
          <w:szCs w:val="24"/>
        </w:rPr>
        <w:t xml:space="preserve"> a Kódexbe került a fordított helyzet, vagyis annak szabályozása is, amikor a lakosságot szükséges riasztani </w:t>
      </w:r>
      <w:r w:rsidRPr="00A70973">
        <w:rPr>
          <w:rFonts w:ascii="Times New Roman" w:hAnsi="Times New Roman" w:cs="Times New Roman"/>
          <w:sz w:val="24"/>
          <w:szCs w:val="24"/>
        </w:rPr>
        <w:t xml:space="preserve">azonnali vagy kialakulóban </w:t>
      </w:r>
      <w:r>
        <w:rPr>
          <w:rFonts w:ascii="Times New Roman" w:hAnsi="Times New Roman" w:cs="Times New Roman"/>
          <w:sz w:val="24"/>
          <w:szCs w:val="24"/>
        </w:rPr>
        <w:t xml:space="preserve">levő jelentős veszélyhelyzetekben, katasztrófákban. </w:t>
      </w:r>
      <w:r w:rsidR="002E5079">
        <w:rPr>
          <w:rFonts w:ascii="Times New Roman" w:hAnsi="Times New Roman" w:cs="Times New Roman"/>
          <w:sz w:val="24"/>
          <w:szCs w:val="24"/>
        </w:rPr>
        <w:t>A szabályozást különösen az Európai Parlament szorgalmazta, melynek tagjai úgy tapasztalták, hogy a tagállamonként eltérő minőségű szabályozás aggályos lehet jelentős veszélyhelyzetek, így esetleges terrortámadások esetében.</w:t>
      </w:r>
    </w:p>
    <w:p w14:paraId="40037D4D" w14:textId="765FAA54" w:rsidR="00F87592" w:rsidRDefault="00A70973" w:rsidP="00944C07">
      <w:pPr>
        <w:jc w:val="both"/>
        <w:rPr>
          <w:rFonts w:ascii="Times New Roman" w:hAnsi="Times New Roman" w:cs="Times New Roman"/>
          <w:sz w:val="24"/>
          <w:szCs w:val="24"/>
        </w:rPr>
      </w:pPr>
      <w:r w:rsidRPr="00A70973">
        <w:rPr>
          <w:rFonts w:ascii="Times New Roman" w:hAnsi="Times New Roman" w:cs="Times New Roman"/>
          <w:sz w:val="24"/>
          <w:szCs w:val="24"/>
        </w:rPr>
        <w:t xml:space="preserve">Az e területre vonatkozó </w:t>
      </w:r>
      <w:r w:rsidR="002E5079">
        <w:rPr>
          <w:rFonts w:ascii="Times New Roman" w:hAnsi="Times New Roman" w:cs="Times New Roman"/>
          <w:sz w:val="24"/>
          <w:szCs w:val="24"/>
        </w:rPr>
        <w:t xml:space="preserve">tagállami </w:t>
      </w:r>
      <w:r w:rsidRPr="00A70973">
        <w:rPr>
          <w:rFonts w:ascii="Times New Roman" w:hAnsi="Times New Roman" w:cs="Times New Roman"/>
          <w:sz w:val="24"/>
          <w:szCs w:val="24"/>
        </w:rPr>
        <w:t xml:space="preserve">jogszabályok közelítése érdekében </w:t>
      </w:r>
      <w:r w:rsidR="002E5079">
        <w:rPr>
          <w:rFonts w:ascii="Times New Roman" w:hAnsi="Times New Roman" w:cs="Times New Roman"/>
          <w:sz w:val="24"/>
          <w:szCs w:val="24"/>
        </w:rPr>
        <w:t xml:space="preserve">a Kódex legkésőbb 2022. június 21-től előírja, </w:t>
      </w:r>
      <w:r>
        <w:rPr>
          <w:rFonts w:ascii="Times New Roman" w:hAnsi="Times New Roman" w:cs="Times New Roman"/>
          <w:sz w:val="24"/>
          <w:szCs w:val="24"/>
        </w:rPr>
        <w:t xml:space="preserve">hogy amennyiben </w:t>
      </w:r>
      <w:r w:rsidR="002E5079">
        <w:rPr>
          <w:rFonts w:ascii="Times New Roman" w:hAnsi="Times New Roman" w:cs="Times New Roman"/>
          <w:sz w:val="24"/>
          <w:szCs w:val="24"/>
        </w:rPr>
        <w:t>a tagállam lakoss</w:t>
      </w:r>
      <w:r w:rsidR="00A03E8B">
        <w:rPr>
          <w:rFonts w:ascii="Times New Roman" w:hAnsi="Times New Roman" w:cs="Times New Roman"/>
          <w:sz w:val="24"/>
          <w:szCs w:val="24"/>
        </w:rPr>
        <w:t>ági riasztó</w:t>
      </w:r>
      <w:r w:rsidR="002E5079">
        <w:rPr>
          <w:rFonts w:ascii="Times New Roman" w:hAnsi="Times New Roman" w:cs="Times New Roman"/>
          <w:sz w:val="24"/>
          <w:szCs w:val="24"/>
        </w:rPr>
        <w:t>rendszert működtet</w:t>
      </w:r>
      <w:r w:rsidRPr="00A70973">
        <w:rPr>
          <w:rFonts w:ascii="Times New Roman" w:hAnsi="Times New Roman" w:cs="Times New Roman"/>
          <w:sz w:val="24"/>
          <w:szCs w:val="24"/>
        </w:rPr>
        <w:t>, a mobil számfüggő személyközi hírközlési szolgáltatások nyújtóinak</w:t>
      </w:r>
      <w:r>
        <w:rPr>
          <w:rFonts w:ascii="Times New Roman" w:hAnsi="Times New Roman" w:cs="Times New Roman"/>
          <w:sz w:val="24"/>
          <w:szCs w:val="24"/>
        </w:rPr>
        <w:t xml:space="preserve"> </w:t>
      </w:r>
      <w:r w:rsidR="002E5079">
        <w:rPr>
          <w:rFonts w:ascii="Times New Roman" w:hAnsi="Times New Roman" w:cs="Times New Roman"/>
          <w:sz w:val="24"/>
          <w:szCs w:val="24"/>
        </w:rPr>
        <w:t xml:space="preserve">díjmentesen </w:t>
      </w:r>
      <w:r w:rsidRPr="00A70973">
        <w:rPr>
          <w:rFonts w:ascii="Times New Roman" w:hAnsi="Times New Roman" w:cs="Times New Roman"/>
          <w:sz w:val="24"/>
          <w:szCs w:val="24"/>
        </w:rPr>
        <w:t>továbbítaniuk kell a lakossági riasztásokat minden é</w:t>
      </w:r>
      <w:r w:rsidR="002E5079">
        <w:rPr>
          <w:rFonts w:ascii="Times New Roman" w:hAnsi="Times New Roman" w:cs="Times New Roman"/>
          <w:sz w:val="24"/>
          <w:szCs w:val="24"/>
        </w:rPr>
        <w:t>rintett végfel</w:t>
      </w:r>
      <w:r w:rsidR="00A971E8">
        <w:rPr>
          <w:rFonts w:ascii="Times New Roman" w:hAnsi="Times New Roman" w:cs="Times New Roman"/>
          <w:sz w:val="24"/>
          <w:szCs w:val="24"/>
        </w:rPr>
        <w:t xml:space="preserve">használó számára, tehát azoknak, </w:t>
      </w:r>
      <w:r w:rsidRPr="00A70973">
        <w:rPr>
          <w:rFonts w:ascii="Times New Roman" w:hAnsi="Times New Roman" w:cs="Times New Roman"/>
          <w:sz w:val="24"/>
          <w:szCs w:val="24"/>
        </w:rPr>
        <w:t>akik a riasztási időszakban az illetékes hatóságok meghatározása szerint az azonnali vagy</w:t>
      </w:r>
      <w:r>
        <w:rPr>
          <w:rFonts w:ascii="Times New Roman" w:hAnsi="Times New Roman" w:cs="Times New Roman"/>
          <w:sz w:val="24"/>
          <w:szCs w:val="24"/>
        </w:rPr>
        <w:t xml:space="preserve"> </w:t>
      </w:r>
      <w:r w:rsidRPr="00A70973">
        <w:rPr>
          <w:rFonts w:ascii="Times New Roman" w:hAnsi="Times New Roman" w:cs="Times New Roman"/>
          <w:sz w:val="24"/>
          <w:szCs w:val="24"/>
        </w:rPr>
        <w:t xml:space="preserve">kialakulóban levő jelentős veszélyhelyzetek és katasztrófák által potenciálisan érintett </w:t>
      </w:r>
      <w:r w:rsidR="0004606E">
        <w:rPr>
          <w:rFonts w:ascii="Times New Roman" w:hAnsi="Times New Roman" w:cs="Times New Roman"/>
          <w:sz w:val="24"/>
          <w:szCs w:val="24"/>
        </w:rPr>
        <w:t>földrajzi területeken tartózkodnak</w:t>
      </w:r>
      <w:r w:rsidRPr="00A70973">
        <w:rPr>
          <w:rFonts w:ascii="Times New Roman" w:hAnsi="Times New Roman" w:cs="Times New Roman"/>
          <w:sz w:val="24"/>
          <w:szCs w:val="24"/>
        </w:rPr>
        <w:t>.</w:t>
      </w:r>
      <w:r>
        <w:rPr>
          <w:rFonts w:ascii="Times New Roman" w:hAnsi="Times New Roman" w:cs="Times New Roman"/>
          <w:sz w:val="24"/>
          <w:szCs w:val="24"/>
        </w:rPr>
        <w:t xml:space="preserve"> </w:t>
      </w:r>
      <w:r w:rsidR="00A971E8" w:rsidRPr="00A971E8">
        <w:rPr>
          <w:rFonts w:ascii="Times New Roman" w:hAnsi="Times New Roman" w:cs="Times New Roman"/>
          <w:sz w:val="24"/>
          <w:szCs w:val="24"/>
        </w:rPr>
        <w:t xml:space="preserve">A tagállamok </w:t>
      </w:r>
      <w:r w:rsidR="00A971E8">
        <w:rPr>
          <w:rFonts w:ascii="Times New Roman" w:hAnsi="Times New Roman" w:cs="Times New Roman"/>
          <w:sz w:val="24"/>
          <w:szCs w:val="24"/>
        </w:rPr>
        <w:t xml:space="preserve">úgy is rendelkezhetnek, </w:t>
      </w:r>
      <w:r w:rsidR="00A971E8" w:rsidRPr="00A971E8">
        <w:rPr>
          <w:rFonts w:ascii="Times New Roman" w:hAnsi="Times New Roman" w:cs="Times New Roman"/>
          <w:sz w:val="24"/>
          <w:szCs w:val="24"/>
        </w:rPr>
        <w:t>hogy a lakossági riasztások</w:t>
      </w:r>
      <w:r w:rsidR="00A971E8">
        <w:rPr>
          <w:rFonts w:ascii="Times New Roman" w:hAnsi="Times New Roman" w:cs="Times New Roman"/>
          <w:sz w:val="24"/>
          <w:szCs w:val="24"/>
        </w:rPr>
        <w:t xml:space="preserve"> egyéb nyilvánosan elérhető </w:t>
      </w:r>
      <w:r w:rsidR="00A971E8" w:rsidRPr="00A971E8">
        <w:rPr>
          <w:rFonts w:ascii="Times New Roman" w:hAnsi="Times New Roman" w:cs="Times New Roman"/>
          <w:sz w:val="24"/>
          <w:szCs w:val="24"/>
        </w:rPr>
        <w:t>elektronikus hírközlési szolgáltatások útján</w:t>
      </w:r>
      <w:r w:rsidR="008112C7">
        <w:rPr>
          <w:rFonts w:ascii="Times New Roman" w:hAnsi="Times New Roman" w:cs="Times New Roman"/>
          <w:sz w:val="24"/>
          <w:szCs w:val="24"/>
        </w:rPr>
        <w:t>,</w:t>
      </w:r>
      <w:r w:rsidR="00A971E8" w:rsidRPr="00A971E8">
        <w:rPr>
          <w:rFonts w:ascii="Times New Roman" w:hAnsi="Times New Roman" w:cs="Times New Roman"/>
          <w:sz w:val="24"/>
          <w:szCs w:val="24"/>
        </w:rPr>
        <w:t xml:space="preserve"> vagy pedig internet-hozzáférési szolgáltatá</w:t>
      </w:r>
      <w:r w:rsidR="00A971E8">
        <w:rPr>
          <w:rFonts w:ascii="Times New Roman" w:hAnsi="Times New Roman" w:cs="Times New Roman"/>
          <w:sz w:val="24"/>
          <w:szCs w:val="24"/>
        </w:rPr>
        <w:t xml:space="preserve">sra épülő mobilalkalmazás révén </w:t>
      </w:r>
      <w:r w:rsidR="00A971E8" w:rsidRPr="00A971E8">
        <w:rPr>
          <w:rFonts w:ascii="Times New Roman" w:hAnsi="Times New Roman" w:cs="Times New Roman"/>
          <w:sz w:val="24"/>
          <w:szCs w:val="24"/>
        </w:rPr>
        <w:t>kerüljenek továbbításra, fe</w:t>
      </w:r>
      <w:r w:rsidR="00A03E8B">
        <w:rPr>
          <w:rFonts w:ascii="Times New Roman" w:hAnsi="Times New Roman" w:cs="Times New Roman"/>
          <w:sz w:val="24"/>
          <w:szCs w:val="24"/>
        </w:rPr>
        <w:t>ltéve, hogy a lakossági riasztó</w:t>
      </w:r>
      <w:r w:rsidR="00A971E8" w:rsidRPr="00A971E8">
        <w:rPr>
          <w:rFonts w:ascii="Times New Roman" w:hAnsi="Times New Roman" w:cs="Times New Roman"/>
          <w:sz w:val="24"/>
          <w:szCs w:val="24"/>
        </w:rPr>
        <w:t>rendszer hatékonysága</w:t>
      </w:r>
      <w:r w:rsidR="00A971E8">
        <w:rPr>
          <w:rFonts w:ascii="Times New Roman" w:hAnsi="Times New Roman" w:cs="Times New Roman"/>
          <w:sz w:val="24"/>
          <w:szCs w:val="24"/>
        </w:rPr>
        <w:t xml:space="preserve"> egyenértékű a lefedettség és a </w:t>
      </w:r>
      <w:r w:rsidR="00A971E8" w:rsidRPr="00A971E8">
        <w:rPr>
          <w:rFonts w:ascii="Times New Roman" w:hAnsi="Times New Roman" w:cs="Times New Roman"/>
          <w:sz w:val="24"/>
          <w:szCs w:val="24"/>
        </w:rPr>
        <w:t xml:space="preserve">végfelhasználók elérésére vonatkozó képesség </w:t>
      </w:r>
      <w:r w:rsidR="00A971E8">
        <w:rPr>
          <w:rFonts w:ascii="Times New Roman" w:hAnsi="Times New Roman" w:cs="Times New Roman"/>
          <w:sz w:val="24"/>
          <w:szCs w:val="24"/>
        </w:rPr>
        <w:t>tekintetében</w:t>
      </w:r>
      <w:r w:rsidR="007E7757">
        <w:rPr>
          <w:rFonts w:ascii="Times New Roman" w:hAnsi="Times New Roman" w:cs="Times New Roman"/>
          <w:sz w:val="24"/>
          <w:szCs w:val="24"/>
        </w:rPr>
        <w:t>,</w:t>
      </w:r>
      <w:r w:rsidR="00A971E8" w:rsidRPr="00A971E8">
        <w:rPr>
          <w:rFonts w:ascii="Times New Roman" w:hAnsi="Times New Roman" w:cs="Times New Roman"/>
          <w:sz w:val="24"/>
          <w:szCs w:val="24"/>
        </w:rPr>
        <w:t xml:space="preserve"> az érintett területen csupán ideiglenesen tartózkodókat is be</w:t>
      </w:r>
      <w:r w:rsidR="00A971E8">
        <w:rPr>
          <w:rFonts w:ascii="Times New Roman" w:hAnsi="Times New Roman" w:cs="Times New Roman"/>
          <w:sz w:val="24"/>
          <w:szCs w:val="24"/>
        </w:rPr>
        <w:t xml:space="preserve">leértve. A Kódex </w:t>
      </w:r>
      <w:r w:rsidRPr="00A70973">
        <w:rPr>
          <w:rFonts w:ascii="Times New Roman" w:hAnsi="Times New Roman" w:cs="Times New Roman"/>
          <w:sz w:val="24"/>
          <w:szCs w:val="24"/>
        </w:rPr>
        <w:t xml:space="preserve">végrehajtásának felülvizsgálata során a </w:t>
      </w:r>
      <w:r w:rsidRPr="00A70973">
        <w:rPr>
          <w:rFonts w:ascii="Times New Roman" w:hAnsi="Times New Roman" w:cs="Times New Roman"/>
          <w:sz w:val="24"/>
          <w:szCs w:val="24"/>
        </w:rPr>
        <w:lastRenderedPageBreak/>
        <w:t xml:space="preserve">Bizottság </w:t>
      </w:r>
      <w:r w:rsidR="00A971E8">
        <w:rPr>
          <w:rFonts w:ascii="Times New Roman" w:hAnsi="Times New Roman" w:cs="Times New Roman"/>
          <w:sz w:val="24"/>
          <w:szCs w:val="24"/>
        </w:rPr>
        <w:t>pedig majd azt is felmérheti, hogy</w:t>
      </w:r>
      <w:r w:rsidR="00E5647C">
        <w:rPr>
          <w:rFonts w:ascii="Times New Roman" w:hAnsi="Times New Roman" w:cs="Times New Roman"/>
          <w:sz w:val="24"/>
          <w:szCs w:val="24"/>
        </w:rPr>
        <w:t xml:space="preserve"> az </w:t>
      </w:r>
      <w:r w:rsidRPr="00A70973">
        <w:rPr>
          <w:rFonts w:ascii="Times New Roman" w:hAnsi="Times New Roman" w:cs="Times New Roman"/>
          <w:sz w:val="24"/>
          <w:szCs w:val="24"/>
        </w:rPr>
        <w:t>uniós joggal összhangban megvalósítható-e az egész Un</w:t>
      </w:r>
      <w:r w:rsidR="00E5647C">
        <w:rPr>
          <w:rFonts w:ascii="Times New Roman" w:hAnsi="Times New Roman" w:cs="Times New Roman"/>
          <w:sz w:val="24"/>
          <w:szCs w:val="24"/>
        </w:rPr>
        <w:t xml:space="preserve">ióra kiterjedő, közös lakossági </w:t>
      </w:r>
      <w:r w:rsidR="00A03E8B">
        <w:rPr>
          <w:rFonts w:ascii="Times New Roman" w:hAnsi="Times New Roman" w:cs="Times New Roman"/>
          <w:sz w:val="24"/>
          <w:szCs w:val="24"/>
        </w:rPr>
        <w:t>riasztó</w:t>
      </w:r>
      <w:r w:rsidR="00A971E8">
        <w:rPr>
          <w:rFonts w:ascii="Times New Roman" w:hAnsi="Times New Roman" w:cs="Times New Roman"/>
          <w:sz w:val="24"/>
          <w:szCs w:val="24"/>
        </w:rPr>
        <w:t>rendszer létrehozása.</w:t>
      </w:r>
      <w:r w:rsidR="00944C07" w:rsidRPr="00944C07">
        <w:rPr>
          <w:rFonts w:ascii="Times New Roman" w:hAnsi="Times New Roman" w:cs="Times New Roman"/>
          <w:sz w:val="24"/>
          <w:szCs w:val="24"/>
        </w:rPr>
        <w:t xml:space="preserve"> </w:t>
      </w:r>
    </w:p>
    <w:p w14:paraId="60EABF66" w14:textId="77777777" w:rsidR="0004606E" w:rsidRPr="0004606E" w:rsidRDefault="0004606E" w:rsidP="00944C07">
      <w:pPr>
        <w:jc w:val="both"/>
        <w:rPr>
          <w:rFonts w:ascii="Times New Roman" w:hAnsi="Times New Roman" w:cs="Times New Roman"/>
          <w:b/>
          <w:sz w:val="24"/>
          <w:szCs w:val="24"/>
        </w:rPr>
      </w:pPr>
      <w:r>
        <w:rPr>
          <w:rFonts w:ascii="Times New Roman" w:hAnsi="Times New Roman" w:cs="Times New Roman"/>
          <w:b/>
          <w:sz w:val="24"/>
          <w:szCs w:val="24"/>
        </w:rPr>
        <w:t>3. Zárszó: vissza- és előre</w:t>
      </w:r>
      <w:r w:rsidRPr="0004606E">
        <w:rPr>
          <w:rFonts w:ascii="Times New Roman" w:hAnsi="Times New Roman" w:cs="Times New Roman"/>
          <w:b/>
          <w:sz w:val="24"/>
          <w:szCs w:val="24"/>
        </w:rPr>
        <w:t>tekintés</w:t>
      </w:r>
    </w:p>
    <w:p w14:paraId="28BD9063" w14:textId="285C8BFB" w:rsidR="00486238" w:rsidRDefault="007E7757" w:rsidP="0004426C">
      <w:pPr>
        <w:jc w:val="both"/>
        <w:rPr>
          <w:rFonts w:ascii="Times New Roman" w:hAnsi="Times New Roman" w:cs="Times New Roman"/>
          <w:sz w:val="24"/>
          <w:szCs w:val="24"/>
        </w:rPr>
      </w:pPr>
      <w:r>
        <w:rPr>
          <w:rFonts w:ascii="Times New Roman" w:hAnsi="Times New Roman" w:cs="Times New Roman"/>
          <w:sz w:val="24"/>
          <w:szCs w:val="24"/>
        </w:rPr>
        <w:t>Cikkünk</w:t>
      </w:r>
      <w:r w:rsidR="002351B6">
        <w:rPr>
          <w:rFonts w:ascii="Times New Roman" w:hAnsi="Times New Roman" w:cs="Times New Roman"/>
          <w:sz w:val="24"/>
          <w:szCs w:val="24"/>
        </w:rPr>
        <w:t xml:space="preserve"> bevezetőjéből kiderült, hogy az elektronikus hírközlési szektor európai keretszabályozásának legutóbbi átfogó felülvizsgálata és a mostani, a Kódexet eredményező módosítás között majdnem 10 év telt el.  Meglehetősen valószínű</w:t>
      </w:r>
      <w:r w:rsidR="005C02AB">
        <w:rPr>
          <w:rFonts w:ascii="Times New Roman" w:hAnsi="Times New Roman" w:cs="Times New Roman"/>
          <w:sz w:val="24"/>
          <w:szCs w:val="24"/>
        </w:rPr>
        <w:t xml:space="preserve"> azonban</w:t>
      </w:r>
      <w:r w:rsidR="002351B6">
        <w:rPr>
          <w:rFonts w:ascii="Times New Roman" w:hAnsi="Times New Roman" w:cs="Times New Roman"/>
          <w:sz w:val="24"/>
          <w:szCs w:val="24"/>
        </w:rPr>
        <w:t xml:space="preserve">, hogy a Kódex felülvizsgálatáig nem fog ennyi idő eltelni, legalábbis ami a végfelhasználók jogaira vonatkozó szabályokat illeti. </w:t>
      </w:r>
      <w:r w:rsidR="005C02AB">
        <w:rPr>
          <w:rFonts w:ascii="Times New Roman" w:hAnsi="Times New Roman" w:cs="Times New Roman"/>
          <w:sz w:val="24"/>
          <w:szCs w:val="24"/>
        </w:rPr>
        <w:t xml:space="preserve">A jogalkotók </w:t>
      </w:r>
      <w:r w:rsidR="00DB3CD2">
        <w:rPr>
          <w:rFonts w:ascii="Times New Roman" w:hAnsi="Times New Roman" w:cs="Times New Roman"/>
          <w:sz w:val="24"/>
          <w:szCs w:val="24"/>
        </w:rPr>
        <w:t xml:space="preserve">ugyanis </w:t>
      </w:r>
      <w:r w:rsidR="0004606E">
        <w:rPr>
          <w:rFonts w:ascii="Times New Roman" w:hAnsi="Times New Roman" w:cs="Times New Roman"/>
          <w:sz w:val="24"/>
          <w:szCs w:val="24"/>
        </w:rPr>
        <w:t>–</w:t>
      </w:r>
      <w:r w:rsidR="00DB3CD2">
        <w:rPr>
          <w:rFonts w:ascii="Times New Roman" w:hAnsi="Times New Roman" w:cs="Times New Roman"/>
          <w:sz w:val="24"/>
          <w:szCs w:val="24"/>
        </w:rPr>
        <w:t xml:space="preserve"> mintha elismernék azt, hogy az új, módosított ágazatspec</w:t>
      </w:r>
      <w:r>
        <w:rPr>
          <w:rFonts w:ascii="Times New Roman" w:hAnsi="Times New Roman" w:cs="Times New Roman"/>
          <w:sz w:val="24"/>
          <w:szCs w:val="24"/>
        </w:rPr>
        <w:t>ifikus fogyasztóvédelmi szabály</w:t>
      </w:r>
      <w:r w:rsidR="00DB3CD2">
        <w:rPr>
          <w:rFonts w:ascii="Times New Roman" w:hAnsi="Times New Roman" w:cs="Times New Roman"/>
          <w:sz w:val="24"/>
          <w:szCs w:val="24"/>
        </w:rPr>
        <w:t>rendszer nem biztos, hogy tartósan kiállja majd az idő próbáját -</w:t>
      </w:r>
      <w:r w:rsidR="00770BA3">
        <w:rPr>
          <w:rFonts w:ascii="Times New Roman" w:hAnsi="Times New Roman" w:cs="Times New Roman"/>
          <w:sz w:val="24"/>
          <w:szCs w:val="24"/>
        </w:rPr>
        <w:t>,</w:t>
      </w:r>
      <w:r w:rsidR="00DB3CD2">
        <w:rPr>
          <w:rFonts w:ascii="Times New Roman" w:hAnsi="Times New Roman" w:cs="Times New Roman"/>
          <w:sz w:val="24"/>
          <w:szCs w:val="24"/>
        </w:rPr>
        <w:t xml:space="preserve"> </w:t>
      </w:r>
      <w:r w:rsidR="005C02AB">
        <w:rPr>
          <w:rFonts w:ascii="Times New Roman" w:hAnsi="Times New Roman" w:cs="Times New Roman"/>
          <w:sz w:val="24"/>
          <w:szCs w:val="24"/>
        </w:rPr>
        <w:t>beiktattak egy erre a tárgykörre vonatkozó különleges felülvizsgálati eljárást: megbízták a BEREC-et, hogy</w:t>
      </w:r>
      <w:r w:rsidR="00CC1FEB">
        <w:rPr>
          <w:rFonts w:ascii="Times New Roman" w:hAnsi="Times New Roman" w:cs="Times New Roman"/>
          <w:sz w:val="24"/>
          <w:szCs w:val="24"/>
        </w:rPr>
        <w:t xml:space="preserve"> kísérje </w:t>
      </w:r>
      <w:r w:rsidR="005C02AB" w:rsidRPr="0004426C">
        <w:rPr>
          <w:rFonts w:ascii="Times New Roman" w:hAnsi="Times New Roman" w:cs="Times New Roman"/>
          <w:sz w:val="24"/>
          <w:szCs w:val="24"/>
        </w:rPr>
        <w:t xml:space="preserve">figyelemmel </w:t>
      </w:r>
      <w:r w:rsidR="00CC1FEB">
        <w:rPr>
          <w:rFonts w:ascii="Times New Roman" w:hAnsi="Times New Roman" w:cs="Times New Roman"/>
          <w:sz w:val="24"/>
          <w:szCs w:val="24"/>
        </w:rPr>
        <w:t xml:space="preserve">a </w:t>
      </w:r>
      <w:r w:rsidR="00CC1FEB" w:rsidRPr="0004426C">
        <w:rPr>
          <w:rFonts w:ascii="Times New Roman" w:hAnsi="Times New Roman" w:cs="Times New Roman"/>
          <w:sz w:val="24"/>
          <w:szCs w:val="24"/>
        </w:rPr>
        <w:t>jövőbeli</w:t>
      </w:r>
      <w:r w:rsidR="00CC1FEB">
        <w:rPr>
          <w:rFonts w:ascii="Times New Roman" w:hAnsi="Times New Roman" w:cs="Times New Roman"/>
          <w:sz w:val="24"/>
          <w:szCs w:val="24"/>
        </w:rPr>
        <w:t xml:space="preserve"> </w:t>
      </w:r>
      <w:r w:rsidR="00CC1FEB" w:rsidRPr="0004426C">
        <w:rPr>
          <w:rFonts w:ascii="Times New Roman" w:hAnsi="Times New Roman" w:cs="Times New Roman"/>
          <w:sz w:val="24"/>
          <w:szCs w:val="24"/>
        </w:rPr>
        <w:t>technológiai és piaci fejlemények</w:t>
      </w:r>
      <w:r w:rsidR="00CC1FEB">
        <w:rPr>
          <w:rFonts w:ascii="Times New Roman" w:hAnsi="Times New Roman" w:cs="Times New Roman"/>
          <w:sz w:val="24"/>
          <w:szCs w:val="24"/>
        </w:rPr>
        <w:t>et</w:t>
      </w:r>
      <w:r w:rsidR="005C02AB" w:rsidRPr="0004426C">
        <w:rPr>
          <w:rFonts w:ascii="Times New Roman" w:hAnsi="Times New Roman" w:cs="Times New Roman"/>
          <w:sz w:val="24"/>
          <w:szCs w:val="24"/>
        </w:rPr>
        <w:t xml:space="preserve"> a tagállamokban</w:t>
      </w:r>
      <w:r>
        <w:rPr>
          <w:rFonts w:ascii="Times New Roman" w:hAnsi="Times New Roman" w:cs="Times New Roman"/>
          <w:sz w:val="24"/>
          <w:szCs w:val="24"/>
        </w:rPr>
        <w:t>,</w:t>
      </w:r>
      <w:r w:rsidR="005C02AB" w:rsidRPr="0004426C">
        <w:rPr>
          <w:rFonts w:ascii="Times New Roman" w:hAnsi="Times New Roman" w:cs="Times New Roman"/>
          <w:sz w:val="24"/>
          <w:szCs w:val="24"/>
        </w:rPr>
        <w:t xml:space="preserve"> és </w:t>
      </w:r>
      <w:r w:rsidR="00CC1FEB">
        <w:rPr>
          <w:rFonts w:ascii="Times New Roman" w:hAnsi="Times New Roman" w:cs="Times New Roman"/>
          <w:sz w:val="24"/>
          <w:szCs w:val="24"/>
        </w:rPr>
        <w:t>első alkalommal 2021. december 21-ig – tehát már egy évvel a nemzeti jogba történő átültetés határidejét követően -</w:t>
      </w:r>
      <w:r w:rsidR="00770BA3">
        <w:rPr>
          <w:rFonts w:ascii="Times New Roman" w:hAnsi="Times New Roman" w:cs="Times New Roman"/>
          <w:sz w:val="24"/>
          <w:szCs w:val="24"/>
        </w:rPr>
        <w:t>,</w:t>
      </w:r>
      <w:r w:rsidR="00CC1FEB">
        <w:rPr>
          <w:rFonts w:ascii="Times New Roman" w:hAnsi="Times New Roman" w:cs="Times New Roman"/>
          <w:sz w:val="24"/>
          <w:szCs w:val="24"/>
        </w:rPr>
        <w:t xml:space="preserve"> majd ezt követően háromévente,</w:t>
      </w:r>
      <w:r w:rsidR="00CC1FEB" w:rsidRPr="00CC1FEB">
        <w:rPr>
          <w:rFonts w:ascii="Times New Roman" w:hAnsi="Times New Roman" w:cs="Times New Roman"/>
          <w:sz w:val="24"/>
          <w:szCs w:val="24"/>
        </w:rPr>
        <w:t xml:space="preserve"> </w:t>
      </w:r>
      <w:r w:rsidR="00CC1FEB" w:rsidRPr="0004426C">
        <w:rPr>
          <w:rFonts w:ascii="Times New Roman" w:hAnsi="Times New Roman" w:cs="Times New Roman"/>
          <w:sz w:val="24"/>
          <w:szCs w:val="24"/>
        </w:rPr>
        <w:t>illetve legalább két tagállam</w:t>
      </w:r>
      <w:r w:rsidR="00CC1FEB">
        <w:rPr>
          <w:rFonts w:ascii="Times New Roman" w:hAnsi="Times New Roman" w:cs="Times New Roman"/>
          <w:sz w:val="24"/>
          <w:szCs w:val="24"/>
        </w:rPr>
        <w:t xml:space="preserve"> indokolt </w:t>
      </w:r>
      <w:r w:rsidR="00CC1FEB" w:rsidRPr="0004426C">
        <w:rPr>
          <w:rFonts w:ascii="Times New Roman" w:hAnsi="Times New Roman" w:cs="Times New Roman"/>
          <w:sz w:val="24"/>
          <w:szCs w:val="24"/>
        </w:rPr>
        <w:t>kérésére</w:t>
      </w:r>
      <w:r w:rsidR="00CC1FEB">
        <w:rPr>
          <w:rFonts w:ascii="Times New Roman" w:hAnsi="Times New Roman" w:cs="Times New Roman"/>
          <w:sz w:val="24"/>
          <w:szCs w:val="24"/>
        </w:rPr>
        <w:t xml:space="preserve"> tegye közzé </w:t>
      </w:r>
      <w:r w:rsidR="005C02AB" w:rsidRPr="0004426C">
        <w:rPr>
          <w:rFonts w:ascii="Times New Roman" w:hAnsi="Times New Roman" w:cs="Times New Roman"/>
          <w:sz w:val="24"/>
          <w:szCs w:val="24"/>
        </w:rPr>
        <w:t>rendszeresen</w:t>
      </w:r>
      <w:r w:rsidR="005C02AB">
        <w:rPr>
          <w:rFonts w:ascii="Times New Roman" w:hAnsi="Times New Roman" w:cs="Times New Roman"/>
          <w:sz w:val="24"/>
          <w:szCs w:val="24"/>
        </w:rPr>
        <w:t xml:space="preserve"> </w:t>
      </w:r>
      <w:r w:rsidR="00CC1FEB">
        <w:rPr>
          <w:rFonts w:ascii="Times New Roman" w:hAnsi="Times New Roman" w:cs="Times New Roman"/>
          <w:sz w:val="24"/>
          <w:szCs w:val="24"/>
        </w:rPr>
        <w:t xml:space="preserve">véleményét, </w:t>
      </w:r>
      <w:r w:rsidR="005C02AB" w:rsidRPr="0004426C">
        <w:rPr>
          <w:rFonts w:ascii="Times New Roman" w:hAnsi="Times New Roman" w:cs="Times New Roman"/>
          <w:sz w:val="24"/>
          <w:szCs w:val="24"/>
        </w:rPr>
        <w:t xml:space="preserve">amely többek között arra vonatkozó értékelést </w:t>
      </w:r>
      <w:r>
        <w:rPr>
          <w:rFonts w:ascii="Times New Roman" w:hAnsi="Times New Roman" w:cs="Times New Roman"/>
          <w:sz w:val="24"/>
          <w:szCs w:val="24"/>
        </w:rPr>
        <w:t>tartalmaz, hogy e fejlemények</w:t>
      </w:r>
      <w:r w:rsidR="005C02AB" w:rsidRPr="0004426C">
        <w:rPr>
          <w:rFonts w:ascii="Times New Roman" w:hAnsi="Times New Roman" w:cs="Times New Roman"/>
          <w:sz w:val="24"/>
          <w:szCs w:val="24"/>
        </w:rPr>
        <w:t xml:space="preserve"> milyen</w:t>
      </w:r>
      <w:r w:rsidR="005C02AB">
        <w:rPr>
          <w:rFonts w:ascii="Times New Roman" w:hAnsi="Times New Roman" w:cs="Times New Roman"/>
          <w:sz w:val="24"/>
          <w:szCs w:val="24"/>
        </w:rPr>
        <w:t xml:space="preserve"> </w:t>
      </w:r>
      <w:r w:rsidR="005C02AB" w:rsidRPr="0004426C">
        <w:rPr>
          <w:rFonts w:ascii="Times New Roman" w:hAnsi="Times New Roman" w:cs="Times New Roman"/>
          <w:sz w:val="24"/>
          <w:szCs w:val="24"/>
        </w:rPr>
        <w:t xml:space="preserve">hatással vannak </w:t>
      </w:r>
      <w:r w:rsidR="00CC1FEB">
        <w:rPr>
          <w:rFonts w:ascii="Times New Roman" w:hAnsi="Times New Roman" w:cs="Times New Roman"/>
          <w:sz w:val="24"/>
          <w:szCs w:val="24"/>
        </w:rPr>
        <w:t xml:space="preserve">a Kódex </w:t>
      </w:r>
      <w:r w:rsidR="005C02AB" w:rsidRPr="0004426C">
        <w:rPr>
          <w:rFonts w:ascii="Times New Roman" w:hAnsi="Times New Roman" w:cs="Times New Roman"/>
          <w:sz w:val="24"/>
          <w:szCs w:val="24"/>
        </w:rPr>
        <w:t xml:space="preserve">rendelkezéseinek gyakorlati alkalmazására a végfelhasználók tekintetében. </w:t>
      </w:r>
      <w:r w:rsidR="00CC1FEB">
        <w:rPr>
          <w:rFonts w:ascii="Times New Roman" w:hAnsi="Times New Roman" w:cs="Times New Roman"/>
          <w:sz w:val="24"/>
          <w:szCs w:val="24"/>
        </w:rPr>
        <w:t>Különösen a szolgáltatóváltás lehetőségeit</w:t>
      </w:r>
      <w:r w:rsidR="002D1920">
        <w:rPr>
          <w:rFonts w:ascii="Times New Roman" w:hAnsi="Times New Roman" w:cs="Times New Roman"/>
          <w:sz w:val="24"/>
          <w:szCs w:val="24"/>
        </w:rPr>
        <w:t>, az enne</w:t>
      </w:r>
      <w:r w:rsidR="00CC1FEB">
        <w:rPr>
          <w:rFonts w:ascii="Times New Roman" w:hAnsi="Times New Roman" w:cs="Times New Roman"/>
          <w:sz w:val="24"/>
          <w:szCs w:val="24"/>
        </w:rPr>
        <w:t xml:space="preserve">k esetleges hiánya által </w:t>
      </w:r>
      <w:r w:rsidR="002D1920">
        <w:rPr>
          <w:rFonts w:ascii="Times New Roman" w:hAnsi="Times New Roman" w:cs="Times New Roman"/>
          <w:sz w:val="24"/>
          <w:szCs w:val="24"/>
        </w:rPr>
        <w:t>okozott piaci torzulást</w:t>
      </w:r>
      <w:r>
        <w:rPr>
          <w:rFonts w:ascii="Times New Roman" w:hAnsi="Times New Roman" w:cs="Times New Roman"/>
          <w:sz w:val="24"/>
          <w:szCs w:val="24"/>
        </w:rPr>
        <w:t>,</w:t>
      </w:r>
      <w:r w:rsidR="002D1920">
        <w:rPr>
          <w:rFonts w:ascii="Times New Roman" w:hAnsi="Times New Roman" w:cs="Times New Roman"/>
          <w:sz w:val="24"/>
          <w:szCs w:val="24"/>
        </w:rPr>
        <w:t xml:space="preserve"> és</w:t>
      </w:r>
      <w:r w:rsidR="00CC1FEB" w:rsidRPr="00CC1FEB">
        <w:rPr>
          <w:rFonts w:ascii="Times New Roman" w:hAnsi="Times New Roman" w:cs="Times New Roman"/>
          <w:sz w:val="24"/>
          <w:szCs w:val="24"/>
        </w:rPr>
        <w:t xml:space="preserve"> a végfelhasználóknak</w:t>
      </w:r>
      <w:r w:rsidR="002D1920">
        <w:rPr>
          <w:rFonts w:ascii="Times New Roman" w:hAnsi="Times New Roman" w:cs="Times New Roman"/>
          <w:sz w:val="24"/>
          <w:szCs w:val="24"/>
        </w:rPr>
        <w:t xml:space="preserve"> okozott kárt</w:t>
      </w:r>
      <w:r>
        <w:rPr>
          <w:rFonts w:ascii="Times New Roman" w:hAnsi="Times New Roman" w:cs="Times New Roman"/>
          <w:sz w:val="24"/>
          <w:szCs w:val="24"/>
        </w:rPr>
        <w:t>,</w:t>
      </w:r>
      <w:r w:rsidR="002D1920">
        <w:rPr>
          <w:rFonts w:ascii="Times New Roman" w:hAnsi="Times New Roman" w:cs="Times New Roman"/>
          <w:sz w:val="24"/>
          <w:szCs w:val="24"/>
        </w:rPr>
        <w:t xml:space="preserve"> illetve </w:t>
      </w:r>
      <w:r w:rsidR="00CC1FEB">
        <w:rPr>
          <w:rFonts w:ascii="Times New Roman" w:hAnsi="Times New Roman" w:cs="Times New Roman"/>
          <w:sz w:val="24"/>
          <w:szCs w:val="24"/>
        </w:rPr>
        <w:t xml:space="preserve">azt szükséges elemezni, </w:t>
      </w:r>
      <w:r w:rsidR="002D1920">
        <w:rPr>
          <w:rFonts w:ascii="Times New Roman" w:hAnsi="Times New Roman" w:cs="Times New Roman"/>
          <w:sz w:val="24"/>
          <w:szCs w:val="24"/>
        </w:rPr>
        <w:t xml:space="preserve">hogy </w:t>
      </w:r>
      <w:r w:rsidR="002D1920" w:rsidRPr="002D1920">
        <w:rPr>
          <w:rFonts w:ascii="Times New Roman" w:hAnsi="Times New Roman" w:cs="Times New Roman"/>
          <w:sz w:val="24"/>
          <w:szCs w:val="24"/>
        </w:rPr>
        <w:t>a számfüggetlen személyközi hírközlési szolgáltatások fokozottabb igénybevétele</w:t>
      </w:r>
      <w:r w:rsidR="002D1920">
        <w:rPr>
          <w:rFonts w:ascii="Times New Roman" w:hAnsi="Times New Roman" w:cs="Times New Roman"/>
          <w:sz w:val="24"/>
          <w:szCs w:val="24"/>
        </w:rPr>
        <w:t xml:space="preserve"> és </w:t>
      </w:r>
      <w:r w:rsidR="002D1920" w:rsidRPr="002D1920">
        <w:rPr>
          <w:rFonts w:ascii="Times New Roman" w:hAnsi="Times New Roman" w:cs="Times New Roman"/>
          <w:sz w:val="24"/>
          <w:szCs w:val="24"/>
        </w:rPr>
        <w:t>interoperabilitás</w:t>
      </w:r>
      <w:r w:rsidR="002D1920">
        <w:rPr>
          <w:rFonts w:ascii="Times New Roman" w:hAnsi="Times New Roman" w:cs="Times New Roman"/>
          <w:sz w:val="24"/>
          <w:szCs w:val="24"/>
        </w:rPr>
        <w:t xml:space="preserve">uk hiánya veszélyezteti-e </w:t>
      </w:r>
      <w:r w:rsidR="002D1920" w:rsidRPr="002D1920">
        <w:rPr>
          <w:rFonts w:ascii="Times New Roman" w:hAnsi="Times New Roman" w:cs="Times New Roman"/>
          <w:sz w:val="24"/>
          <w:szCs w:val="24"/>
        </w:rPr>
        <w:t>érzékelhető módon a sürgősségi segélyszolgálatok elérését</w:t>
      </w:r>
      <w:r w:rsidR="002D1920">
        <w:rPr>
          <w:rFonts w:ascii="Times New Roman" w:hAnsi="Times New Roman" w:cs="Times New Roman"/>
          <w:sz w:val="24"/>
          <w:szCs w:val="24"/>
        </w:rPr>
        <w:t xml:space="preserve">. </w:t>
      </w:r>
      <w:r w:rsidR="002D1920" w:rsidRPr="002D1920">
        <w:rPr>
          <w:rFonts w:ascii="Times New Roman" w:hAnsi="Times New Roman" w:cs="Times New Roman"/>
          <w:sz w:val="24"/>
          <w:szCs w:val="24"/>
        </w:rPr>
        <w:t xml:space="preserve"> </w:t>
      </w:r>
      <w:r w:rsidR="005C02AB" w:rsidRPr="0004426C">
        <w:rPr>
          <w:rFonts w:ascii="Times New Roman" w:hAnsi="Times New Roman" w:cs="Times New Roman"/>
          <w:sz w:val="24"/>
          <w:szCs w:val="24"/>
        </w:rPr>
        <w:t>A</w:t>
      </w:r>
      <w:r w:rsidR="002D1920">
        <w:rPr>
          <w:rFonts w:ascii="Times New Roman" w:hAnsi="Times New Roman" w:cs="Times New Roman"/>
          <w:sz w:val="24"/>
          <w:szCs w:val="24"/>
        </w:rPr>
        <w:t>z Európai</w:t>
      </w:r>
      <w:r w:rsidR="005C02AB">
        <w:rPr>
          <w:rFonts w:ascii="Times New Roman" w:hAnsi="Times New Roman" w:cs="Times New Roman"/>
          <w:sz w:val="24"/>
          <w:szCs w:val="24"/>
        </w:rPr>
        <w:t xml:space="preserve"> </w:t>
      </w:r>
      <w:r w:rsidR="005C02AB" w:rsidRPr="0004426C">
        <w:rPr>
          <w:rFonts w:ascii="Times New Roman" w:hAnsi="Times New Roman" w:cs="Times New Roman"/>
          <w:sz w:val="24"/>
          <w:szCs w:val="24"/>
        </w:rPr>
        <w:t>Bizottságnak – a lehető legteljesebb mértékben figyelembe véve a BEREC véleményét – jelentést kell közzétennie, és</w:t>
      </w:r>
      <w:r w:rsidR="005C02AB">
        <w:rPr>
          <w:rFonts w:ascii="Times New Roman" w:hAnsi="Times New Roman" w:cs="Times New Roman"/>
          <w:sz w:val="24"/>
          <w:szCs w:val="24"/>
        </w:rPr>
        <w:t xml:space="preserve"> </w:t>
      </w:r>
      <w:r w:rsidR="005C02AB" w:rsidRPr="0004426C">
        <w:rPr>
          <w:rFonts w:ascii="Times New Roman" w:hAnsi="Times New Roman" w:cs="Times New Roman"/>
          <w:sz w:val="24"/>
          <w:szCs w:val="24"/>
        </w:rPr>
        <w:t>ha ezen irányelv célkitűzéseinek biztosítása érdekében szükségesnek ítéli, jogalkotási javaslatot kell benyújtania a</w:t>
      </w:r>
      <w:r w:rsidR="005C02AB">
        <w:rPr>
          <w:rFonts w:ascii="Times New Roman" w:hAnsi="Times New Roman" w:cs="Times New Roman"/>
          <w:sz w:val="24"/>
          <w:szCs w:val="24"/>
        </w:rPr>
        <w:t xml:space="preserve"> </w:t>
      </w:r>
      <w:r w:rsidR="005C02AB" w:rsidRPr="0004426C">
        <w:rPr>
          <w:rFonts w:ascii="Times New Roman" w:hAnsi="Times New Roman" w:cs="Times New Roman"/>
          <w:sz w:val="24"/>
          <w:szCs w:val="24"/>
        </w:rPr>
        <w:t>módosítása céljából.</w:t>
      </w:r>
      <w:r w:rsidR="00486238">
        <w:rPr>
          <w:rFonts w:ascii="Times New Roman" w:hAnsi="Times New Roman" w:cs="Times New Roman"/>
          <w:sz w:val="24"/>
          <w:szCs w:val="24"/>
        </w:rPr>
        <w:t xml:space="preserve"> </w:t>
      </w:r>
    </w:p>
    <w:p w14:paraId="0B58E1C3" w14:textId="77777777" w:rsidR="00DB3CD2" w:rsidRPr="005111E1" w:rsidRDefault="00DB3CD2" w:rsidP="0004426C">
      <w:pPr>
        <w:jc w:val="both"/>
        <w:rPr>
          <w:rFonts w:ascii="Times New Roman" w:hAnsi="Times New Roman" w:cs="Times New Roman"/>
          <w:sz w:val="24"/>
          <w:szCs w:val="24"/>
        </w:rPr>
      </w:pPr>
      <w:r>
        <w:rPr>
          <w:rFonts w:ascii="Times New Roman" w:hAnsi="Times New Roman" w:cs="Times New Roman"/>
          <w:sz w:val="24"/>
          <w:szCs w:val="24"/>
        </w:rPr>
        <w:t xml:space="preserve">A Kódex tehát megszületetett, az implementáció rajtra kész, és úgy tűnik, a végrehajtásával </w:t>
      </w:r>
      <w:r w:rsidRPr="005111E1">
        <w:rPr>
          <w:rFonts w:ascii="Times New Roman" w:hAnsi="Times New Roman" w:cs="Times New Roman"/>
          <w:sz w:val="24"/>
          <w:szCs w:val="24"/>
        </w:rPr>
        <w:t xml:space="preserve">egy időben maga a szabályozás is alakul majd. </w:t>
      </w:r>
    </w:p>
    <w:p w14:paraId="55804E0E" w14:textId="77777777" w:rsidR="00AB3F91" w:rsidRDefault="00AB3F91" w:rsidP="0004426C">
      <w:pPr>
        <w:jc w:val="both"/>
        <w:rPr>
          <w:rFonts w:ascii="Times New Roman" w:eastAsia="Times New Roman" w:hAnsi="Times New Roman" w:cs="Times New Roman"/>
          <w:b/>
          <w:sz w:val="24"/>
          <w:szCs w:val="24"/>
        </w:rPr>
      </w:pPr>
    </w:p>
    <w:p w14:paraId="6BD9A75D" w14:textId="6A26F020" w:rsidR="00DB3CD2" w:rsidRPr="005111E1" w:rsidRDefault="005111E1" w:rsidP="0004426C">
      <w:pPr>
        <w:jc w:val="both"/>
        <w:rPr>
          <w:rFonts w:ascii="Times New Roman" w:hAnsi="Times New Roman" w:cs="Times New Roman"/>
          <w:sz w:val="24"/>
          <w:szCs w:val="24"/>
        </w:rPr>
      </w:pPr>
      <w:r w:rsidRPr="005111E1">
        <w:rPr>
          <w:rFonts w:ascii="Times New Roman" w:eastAsia="Times New Roman" w:hAnsi="Times New Roman" w:cs="Times New Roman"/>
          <w:b/>
          <w:sz w:val="24"/>
          <w:szCs w:val="24"/>
        </w:rPr>
        <w:t>Dr. Kovács Anita</w:t>
      </w:r>
      <w:r w:rsidRPr="005111E1">
        <w:rPr>
          <w:rFonts w:ascii="Times New Roman" w:eastAsia="Times New Roman" w:hAnsi="Times New Roman" w:cs="Times New Roman"/>
          <w:sz w:val="24"/>
          <w:szCs w:val="24"/>
        </w:rPr>
        <w:t>, jogász</w:t>
      </w:r>
      <w:r>
        <w:rPr>
          <w:rFonts w:ascii="Times New Roman" w:eastAsia="Times New Roman" w:hAnsi="Times New Roman" w:cs="Times New Roman"/>
          <w:sz w:val="24"/>
          <w:szCs w:val="24"/>
        </w:rPr>
        <w:t>,</w:t>
      </w:r>
      <w:r w:rsidRPr="005111E1">
        <w:rPr>
          <w:rFonts w:ascii="Times New Roman" w:eastAsia="Times New Roman" w:hAnsi="Times New Roman" w:cs="Times New Roman"/>
          <w:sz w:val="24"/>
          <w:szCs w:val="24"/>
        </w:rPr>
        <w:t xml:space="preserve"> 2013-tól a Telenor Magyarország Zrt. vezető szabályozási szakértője, 2015-2016-ban a Telenor Csoport brüsszeli irodájának munkatársa. Korábban 1999-től egészen 2012-ig a Gazdasági Versenyhivatal Infokommunikációs Ágazati Irodájának vizsgálója majd vezetője, ennek köszönhetően több éves tapasztalattal rendelkezik az elektronikus hírközlési szektort érintő versenyfelügyelet illetve piacszabályozás területén. 2011-2013 között az Antenna Hungária Zrt. jogi, szabályozási osztályának vezetője.</w:t>
      </w:r>
    </w:p>
    <w:p w14:paraId="72D6E233" w14:textId="38B0B1EB" w:rsidR="005111E1" w:rsidRPr="00AB3F91" w:rsidRDefault="005111E1" w:rsidP="00AB3F91">
      <w:pPr>
        <w:spacing w:after="0" w:line="240" w:lineRule="auto"/>
        <w:jc w:val="both"/>
        <w:rPr>
          <w:rFonts w:ascii="Times New Roman" w:eastAsia="Times New Roman" w:hAnsi="Times New Roman" w:cs="Times New Roman"/>
          <w:b/>
          <w:sz w:val="24"/>
          <w:szCs w:val="24"/>
        </w:rPr>
      </w:pPr>
      <w:r w:rsidRPr="00AB3F91">
        <w:rPr>
          <w:rFonts w:ascii="Times New Roman" w:eastAsia="Times New Roman" w:hAnsi="Times New Roman" w:cs="Times New Roman"/>
          <w:b/>
          <w:sz w:val="24"/>
          <w:szCs w:val="24"/>
        </w:rPr>
        <w:t>Title:</w:t>
      </w:r>
    </w:p>
    <w:p w14:paraId="17F69D76" w14:textId="318E0FFC" w:rsidR="00DB3CD2" w:rsidRPr="005111E1" w:rsidRDefault="005111E1" w:rsidP="00AB3F91">
      <w:pPr>
        <w:spacing w:after="0" w:line="240" w:lineRule="auto"/>
        <w:jc w:val="both"/>
        <w:rPr>
          <w:rFonts w:ascii="Times New Roman" w:hAnsi="Times New Roman" w:cs="Times New Roman"/>
          <w:sz w:val="24"/>
          <w:szCs w:val="24"/>
        </w:rPr>
      </w:pPr>
      <w:r w:rsidRPr="005111E1">
        <w:rPr>
          <w:rFonts w:ascii="Times New Roman" w:eastAsia="Times New Roman" w:hAnsi="Times New Roman" w:cs="Times New Roman"/>
          <w:sz w:val="24"/>
          <w:szCs w:val="24"/>
        </w:rPr>
        <w:t>End-user rights in the new European Electronic Communications Code</w:t>
      </w:r>
    </w:p>
    <w:p w14:paraId="2046C1AA" w14:textId="77777777" w:rsidR="00AB3F91" w:rsidRDefault="00AB3F91" w:rsidP="00AB3F91">
      <w:pPr>
        <w:spacing w:after="0" w:line="240" w:lineRule="auto"/>
        <w:jc w:val="both"/>
        <w:rPr>
          <w:rFonts w:ascii="Times New Roman" w:eastAsia="Times New Roman" w:hAnsi="Times New Roman" w:cs="Times New Roman"/>
          <w:sz w:val="24"/>
          <w:szCs w:val="24"/>
        </w:rPr>
      </w:pPr>
    </w:p>
    <w:p w14:paraId="6DA653B8" w14:textId="20E6A166" w:rsidR="005111E1" w:rsidRPr="00AB3F91" w:rsidRDefault="005111E1" w:rsidP="00AB3F91">
      <w:pPr>
        <w:spacing w:after="0" w:line="240" w:lineRule="auto"/>
        <w:jc w:val="both"/>
        <w:rPr>
          <w:rFonts w:ascii="Times New Roman" w:eastAsia="Times New Roman" w:hAnsi="Times New Roman" w:cs="Times New Roman"/>
          <w:b/>
          <w:sz w:val="24"/>
          <w:szCs w:val="24"/>
        </w:rPr>
      </w:pPr>
      <w:r w:rsidRPr="00AB3F91">
        <w:rPr>
          <w:rFonts w:ascii="Times New Roman" w:eastAsia="Times New Roman" w:hAnsi="Times New Roman" w:cs="Times New Roman"/>
          <w:b/>
          <w:sz w:val="24"/>
          <w:szCs w:val="24"/>
        </w:rPr>
        <w:t>Abstract:</w:t>
      </w:r>
    </w:p>
    <w:p w14:paraId="6B038950" w14:textId="1B94D199" w:rsidR="00DB3CD2" w:rsidRPr="00D24365" w:rsidRDefault="00152561" w:rsidP="00AB3F9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From the end of 2020, at</w:t>
      </w:r>
      <w:r w:rsidR="005111E1" w:rsidRPr="005111E1">
        <w:rPr>
          <w:rFonts w:ascii="Times New Roman" w:eastAsia="Times New Roman" w:hAnsi="Times New Roman" w:cs="Times New Roman"/>
          <w:sz w:val="24"/>
          <w:szCs w:val="24"/>
        </w:rPr>
        <w:t xml:space="preserve"> the latest</w:t>
      </w:r>
      <w:r>
        <w:rPr>
          <w:rFonts w:ascii="Times New Roman" w:eastAsia="Times New Roman" w:hAnsi="Times New Roman" w:cs="Times New Roman"/>
          <w:sz w:val="24"/>
          <w:szCs w:val="24"/>
        </w:rPr>
        <w:t>,</w:t>
      </w:r>
      <w:r w:rsidR="005111E1" w:rsidRPr="005111E1">
        <w:rPr>
          <w:rFonts w:ascii="Times New Roman" w:eastAsia="Times New Roman" w:hAnsi="Times New Roman" w:cs="Times New Roman"/>
          <w:sz w:val="24"/>
          <w:szCs w:val="24"/>
        </w:rPr>
        <w:t xml:space="preserve"> the Hungarian end-users of electronic communications services, the service providers</w:t>
      </w:r>
      <w:r>
        <w:rPr>
          <w:rFonts w:ascii="Times New Roman" w:eastAsia="Times New Roman" w:hAnsi="Times New Roman" w:cs="Times New Roman"/>
          <w:sz w:val="24"/>
          <w:szCs w:val="24"/>
        </w:rPr>
        <w:t>,</w:t>
      </w:r>
      <w:r w:rsidR="005111E1" w:rsidRPr="005111E1">
        <w:rPr>
          <w:rFonts w:ascii="Times New Roman" w:eastAsia="Times New Roman" w:hAnsi="Times New Roman" w:cs="Times New Roman"/>
          <w:sz w:val="24"/>
          <w:szCs w:val="24"/>
        </w:rPr>
        <w:t xml:space="preserve"> and the regulatory authorities supervising the sector will face a regulatory regime which is significantly different  from the current one although not comple</w:t>
      </w:r>
      <w:r>
        <w:rPr>
          <w:rFonts w:ascii="Times New Roman" w:eastAsia="Times New Roman" w:hAnsi="Times New Roman" w:cs="Times New Roman"/>
          <w:sz w:val="24"/>
          <w:szCs w:val="24"/>
        </w:rPr>
        <w:t>tely new. This new regulation</w:t>
      </w:r>
      <w:r w:rsidR="005111E1" w:rsidRPr="005111E1">
        <w:rPr>
          <w:rFonts w:ascii="Times New Roman" w:eastAsia="Times New Roman" w:hAnsi="Times New Roman" w:cs="Times New Roman"/>
          <w:sz w:val="24"/>
          <w:szCs w:val="24"/>
        </w:rPr>
        <w:t xml:space="preserve"> stems from the European Electronic Communications </w:t>
      </w:r>
      <w:r w:rsidR="005111E1" w:rsidRPr="005111E1">
        <w:rPr>
          <w:rFonts w:ascii="Times New Roman" w:eastAsia="Times New Roman" w:hAnsi="Times New Roman" w:cs="Times New Roman"/>
          <w:sz w:val="24"/>
          <w:szCs w:val="24"/>
        </w:rPr>
        <w:lastRenderedPageBreak/>
        <w:t xml:space="preserve">Code which came into effect in December 2018, aiming to sustain and modernize the sectoral EU regulatory framework applicable now </w:t>
      </w:r>
      <w:r>
        <w:rPr>
          <w:rFonts w:ascii="Times New Roman" w:eastAsia="Times New Roman" w:hAnsi="Times New Roman" w:cs="Times New Roman"/>
          <w:sz w:val="24"/>
          <w:szCs w:val="24"/>
        </w:rPr>
        <w:t xml:space="preserve">for </w:t>
      </w:r>
      <w:r w:rsidR="005111E1" w:rsidRPr="005111E1">
        <w:rPr>
          <w:rFonts w:ascii="Times New Roman" w:eastAsia="Times New Roman" w:hAnsi="Times New Roman" w:cs="Times New Roman"/>
          <w:sz w:val="24"/>
          <w:szCs w:val="24"/>
        </w:rPr>
        <w:t>telecoms. The most important novelty of the Code in its consumer protection chapter containing the end-user rights provisions are the redesign of the definition of electronic</w:t>
      </w:r>
      <w:r w:rsidR="005111E1" w:rsidRPr="00D24365">
        <w:rPr>
          <w:rFonts w:ascii="Times New Roman" w:eastAsia="Times New Roman" w:hAnsi="Times New Roman" w:cs="Times New Roman"/>
          <w:color w:val="1F497D"/>
          <w:sz w:val="24"/>
          <w:szCs w:val="24"/>
        </w:rPr>
        <w:t xml:space="preserve"> </w:t>
      </w:r>
      <w:r w:rsidR="005111E1" w:rsidRPr="00D24365">
        <w:rPr>
          <w:rFonts w:ascii="Times New Roman" w:eastAsia="Times New Roman" w:hAnsi="Times New Roman" w:cs="Times New Roman"/>
          <w:sz w:val="24"/>
          <w:szCs w:val="24"/>
        </w:rPr>
        <w:t>communications services, its extension to cover the so called OTT communications services and the maximum harmonization approach. The provisions on information requirements for contracts between the end users and the service providers, on transparency of tariffs and other conditions, quality of service, providers switching and emergency communications contain more or less changes as well. This article aims to provide a short overview of these changes.</w:t>
      </w:r>
    </w:p>
    <w:p w14:paraId="4D53BB56" w14:textId="77777777" w:rsidR="00AB3F91" w:rsidRDefault="00AB3F91" w:rsidP="00AB3F91">
      <w:pPr>
        <w:spacing w:after="0" w:line="240" w:lineRule="auto"/>
        <w:rPr>
          <w:rFonts w:ascii="Times New Roman" w:eastAsia="Times New Roman" w:hAnsi="Times New Roman" w:cs="Times New Roman"/>
          <w:sz w:val="24"/>
          <w:szCs w:val="24"/>
        </w:rPr>
      </w:pPr>
    </w:p>
    <w:p w14:paraId="0FC67B11" w14:textId="4C6BF53F" w:rsidR="00D24365" w:rsidRPr="00AB3F91" w:rsidRDefault="00D24365" w:rsidP="00AB3F91">
      <w:pPr>
        <w:spacing w:after="0" w:line="240" w:lineRule="auto"/>
        <w:rPr>
          <w:rFonts w:ascii="Times New Roman" w:eastAsia="Times New Roman" w:hAnsi="Times New Roman" w:cs="Times New Roman"/>
          <w:b/>
          <w:sz w:val="24"/>
          <w:szCs w:val="24"/>
        </w:rPr>
      </w:pPr>
      <w:r w:rsidRPr="00AB3F91">
        <w:rPr>
          <w:rFonts w:ascii="Times New Roman" w:eastAsia="Times New Roman" w:hAnsi="Times New Roman" w:cs="Times New Roman"/>
          <w:b/>
          <w:sz w:val="24"/>
          <w:szCs w:val="24"/>
        </w:rPr>
        <w:t>Keywords:</w:t>
      </w:r>
    </w:p>
    <w:p w14:paraId="01B7ACEA" w14:textId="00146197" w:rsidR="0004426C" w:rsidRPr="00D24365" w:rsidRDefault="00051078" w:rsidP="00AB3F9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w:t>
      </w:r>
      <w:bookmarkStart w:id="0" w:name="_GoBack"/>
      <w:bookmarkEnd w:id="0"/>
      <w:r w:rsidR="00D24365" w:rsidRPr="00D24365">
        <w:rPr>
          <w:rFonts w:ascii="Times New Roman" w:eastAsia="Times New Roman" w:hAnsi="Times New Roman" w:cs="Times New Roman"/>
          <w:sz w:val="24"/>
          <w:szCs w:val="24"/>
        </w:rPr>
        <w:t>egulatory framework of electronic communications, end-user rights, new European Electronic Communications Code, new definition of communication services</w:t>
      </w:r>
    </w:p>
    <w:sectPr w:rsidR="0004426C" w:rsidRPr="00D24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E78F" w14:textId="77777777" w:rsidR="00A44122" w:rsidRDefault="00A44122" w:rsidP="000E7FCA">
      <w:pPr>
        <w:spacing w:after="0" w:line="240" w:lineRule="auto"/>
      </w:pPr>
      <w:r>
        <w:separator/>
      </w:r>
    </w:p>
  </w:endnote>
  <w:endnote w:type="continuationSeparator" w:id="0">
    <w:p w14:paraId="4D191780" w14:textId="77777777" w:rsidR="00A44122" w:rsidRDefault="00A44122" w:rsidP="000E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UAlbertina-Regu-Identity-H">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56AF" w14:textId="77777777" w:rsidR="00A44122" w:rsidRDefault="00A44122" w:rsidP="000E7FCA">
      <w:pPr>
        <w:spacing w:after="0" w:line="240" w:lineRule="auto"/>
      </w:pPr>
      <w:r>
        <w:separator/>
      </w:r>
    </w:p>
  </w:footnote>
  <w:footnote w:type="continuationSeparator" w:id="0">
    <w:p w14:paraId="182F33DD" w14:textId="77777777" w:rsidR="00A44122" w:rsidRDefault="00A44122" w:rsidP="000E7FCA">
      <w:pPr>
        <w:spacing w:after="0" w:line="240" w:lineRule="auto"/>
      </w:pPr>
      <w:r>
        <w:continuationSeparator/>
      </w:r>
    </w:p>
  </w:footnote>
  <w:footnote w:id="1">
    <w:p w14:paraId="387CDD44" w14:textId="50F35FB5" w:rsidR="00A44122" w:rsidRPr="00692D0E" w:rsidRDefault="00A44122" w:rsidP="00692D0E">
      <w:pPr>
        <w:pStyle w:val="FootnoteText"/>
        <w:rPr>
          <w:rFonts w:ascii="Times New Roman" w:hAnsi="Times New Roman" w:cs="Times New Roman"/>
          <w:sz w:val="18"/>
          <w:szCs w:val="18"/>
        </w:rPr>
      </w:pPr>
      <w:r>
        <w:rPr>
          <w:rStyle w:val="FootnoteReference"/>
        </w:rPr>
        <w:footnoteRef/>
      </w:r>
      <w:r>
        <w:t xml:space="preserve"> </w:t>
      </w:r>
      <w:r w:rsidRPr="00692D0E">
        <w:rPr>
          <w:rFonts w:ascii="Times New Roman" w:hAnsi="Times New Roman" w:cs="Times New Roman"/>
          <w:sz w:val="18"/>
          <w:szCs w:val="18"/>
        </w:rPr>
        <w:t xml:space="preserve">Az Európai Parlament és a Tanács 2002/21/EK irányelve (2002. március 7.) az elektronikus hírközlő hálózatok és </w:t>
      </w:r>
      <w:r>
        <w:rPr>
          <w:rFonts w:ascii="Times New Roman" w:hAnsi="Times New Roman" w:cs="Times New Roman"/>
          <w:sz w:val="18"/>
          <w:szCs w:val="18"/>
        </w:rPr>
        <w:t>e</w:t>
      </w:r>
      <w:r w:rsidRPr="00692D0E">
        <w:rPr>
          <w:rFonts w:ascii="Times New Roman" w:hAnsi="Times New Roman" w:cs="Times New Roman"/>
          <w:sz w:val="18"/>
          <w:szCs w:val="18"/>
        </w:rPr>
        <w:t>lektronikus hírközlési szolgáltatások közös keretszabályozásáról (HL L 108., 2002.4.24., 33. o.).</w:t>
      </w:r>
    </w:p>
  </w:footnote>
  <w:footnote w:id="2">
    <w:p w14:paraId="29414A8D" w14:textId="77777777" w:rsidR="00A44122" w:rsidRPr="00692D0E" w:rsidRDefault="00A44122" w:rsidP="00692D0E">
      <w:pPr>
        <w:pStyle w:val="FootnoteText"/>
        <w:rPr>
          <w:rFonts w:ascii="Times New Roman" w:hAnsi="Times New Roman" w:cs="Times New Roman"/>
          <w:sz w:val="18"/>
          <w:szCs w:val="18"/>
        </w:rPr>
      </w:pPr>
      <w:r w:rsidRPr="00692D0E">
        <w:rPr>
          <w:rStyle w:val="FootnoteReference"/>
          <w:rFonts w:ascii="Times New Roman" w:hAnsi="Times New Roman" w:cs="Times New Roman"/>
          <w:sz w:val="18"/>
          <w:szCs w:val="18"/>
        </w:rPr>
        <w:footnoteRef/>
      </w:r>
      <w:r w:rsidRPr="00692D0E">
        <w:rPr>
          <w:rFonts w:ascii="Times New Roman" w:hAnsi="Times New Roman" w:cs="Times New Roman"/>
          <w:sz w:val="18"/>
          <w:szCs w:val="18"/>
        </w:rPr>
        <w:t xml:space="preserve"> Az Európai Parlament és a Tanács 2002/20/EK irányelve (2002. március 7.) az elektronikus hírközlő hálózatok és az elektronikus hírközlési szolgáltatások engedélyezéséről (HL L 108., 2002.4.24., 21. o.).</w:t>
      </w:r>
    </w:p>
  </w:footnote>
  <w:footnote w:id="3">
    <w:p w14:paraId="48D5DCB0" w14:textId="77777777" w:rsidR="00A44122" w:rsidRPr="00692D0E" w:rsidRDefault="00A44122" w:rsidP="00692D0E">
      <w:pPr>
        <w:pStyle w:val="FootnoteText"/>
        <w:rPr>
          <w:rFonts w:ascii="Times New Roman" w:hAnsi="Times New Roman" w:cs="Times New Roman"/>
          <w:sz w:val="18"/>
          <w:szCs w:val="18"/>
        </w:rPr>
      </w:pPr>
      <w:r w:rsidRPr="00692D0E">
        <w:rPr>
          <w:rStyle w:val="FootnoteReference"/>
          <w:rFonts w:ascii="Times New Roman" w:hAnsi="Times New Roman" w:cs="Times New Roman"/>
          <w:sz w:val="18"/>
          <w:szCs w:val="18"/>
        </w:rPr>
        <w:footnoteRef/>
      </w:r>
      <w:r w:rsidRPr="00692D0E">
        <w:rPr>
          <w:rFonts w:ascii="Times New Roman" w:hAnsi="Times New Roman" w:cs="Times New Roman"/>
          <w:sz w:val="18"/>
          <w:szCs w:val="18"/>
        </w:rPr>
        <w:t xml:space="preserve"> Az Európai Parlament és a Tanács 2002/19/EK irányelve (2002. március 7.) az elektronikus hírközlő hálózatokhoz és kapcsolódó eszközökhöz való hozzáférésről, valamint azok összekapcsolásáról (HL L 108., 2002.4.24., 7. o.).</w:t>
      </w:r>
    </w:p>
  </w:footnote>
  <w:footnote w:id="4">
    <w:p w14:paraId="4F802121" w14:textId="77777777" w:rsidR="00A44122" w:rsidRPr="00692D0E" w:rsidRDefault="00A44122" w:rsidP="00692D0E">
      <w:pPr>
        <w:pStyle w:val="FootnoteText"/>
        <w:rPr>
          <w:rFonts w:ascii="Times New Roman" w:hAnsi="Times New Roman" w:cs="Times New Roman"/>
          <w:sz w:val="18"/>
          <w:szCs w:val="18"/>
        </w:rPr>
      </w:pPr>
      <w:r w:rsidRPr="00692D0E">
        <w:rPr>
          <w:rStyle w:val="FootnoteReference"/>
          <w:rFonts w:ascii="Times New Roman" w:hAnsi="Times New Roman" w:cs="Times New Roman"/>
          <w:sz w:val="18"/>
          <w:szCs w:val="18"/>
        </w:rPr>
        <w:footnoteRef/>
      </w:r>
      <w:r w:rsidRPr="00692D0E">
        <w:rPr>
          <w:rFonts w:ascii="Times New Roman" w:hAnsi="Times New Roman" w:cs="Times New Roman"/>
          <w:sz w:val="18"/>
          <w:szCs w:val="18"/>
        </w:rPr>
        <w:t xml:space="preserve"> Az Európai Parlament és a Tanács 2002/22/EK irányelve (2002. március 7.) az egyetemes szolgáltatásról, valamint az elektronikus hírközlő hálózatokhoz és elektronikus hírközlési szolgáltatásokhoz kapcsolódó felhasználói jogokról (HL L 108., 2002.4.24., 51. o.).</w:t>
      </w:r>
    </w:p>
  </w:footnote>
  <w:footnote w:id="5">
    <w:p w14:paraId="0183DCFD" w14:textId="23AB78D9" w:rsidR="00A44122" w:rsidRPr="00692D0E" w:rsidRDefault="00A44122" w:rsidP="000E7FCA">
      <w:pPr>
        <w:pStyle w:val="FootnoteText"/>
        <w:rPr>
          <w:rFonts w:ascii="Times New Roman" w:hAnsi="Times New Roman" w:cs="Times New Roman"/>
          <w:sz w:val="18"/>
          <w:szCs w:val="18"/>
        </w:rPr>
      </w:pPr>
      <w:r w:rsidRPr="00692D0E">
        <w:rPr>
          <w:rStyle w:val="FootnoteReference"/>
          <w:rFonts w:ascii="Times New Roman" w:hAnsi="Times New Roman" w:cs="Times New Roman"/>
          <w:sz w:val="18"/>
          <w:szCs w:val="18"/>
        </w:rPr>
        <w:footnoteRef/>
      </w:r>
      <w:r w:rsidRPr="00692D0E">
        <w:rPr>
          <w:rFonts w:ascii="Times New Roman" w:hAnsi="Times New Roman" w:cs="Times New Roman"/>
          <w:sz w:val="18"/>
          <w:szCs w:val="18"/>
        </w:rPr>
        <w:t xml:space="preserve"> Az Európai Parlament és a Tanács 1211/2009/EK rendelete (2009. november 25.) az Európai Elektronikus Hírközlési Szabályozók Testületének (BEREC) és Hivatalának létrehozásáról (HL L 337., 2009.12.18., 1. o.)</w:t>
      </w:r>
      <w:r>
        <w:rPr>
          <w:rFonts w:ascii="Times New Roman" w:hAnsi="Times New Roman" w:cs="Times New Roman"/>
          <w:sz w:val="18"/>
          <w:szCs w:val="18"/>
        </w:rPr>
        <w:t>.</w:t>
      </w:r>
    </w:p>
  </w:footnote>
  <w:footnote w:id="6">
    <w:p w14:paraId="3AC17BE6" w14:textId="0447EB5C" w:rsidR="00A44122" w:rsidRPr="002F4634" w:rsidRDefault="00A44122" w:rsidP="002F4634">
      <w:pPr>
        <w:autoSpaceDE w:val="0"/>
        <w:autoSpaceDN w:val="0"/>
        <w:adjustRightInd w:val="0"/>
        <w:spacing w:after="0" w:line="240" w:lineRule="auto"/>
        <w:rPr>
          <w:rFonts w:ascii="EUAlbertina-Regu-Identity-H" w:hAnsi="EUAlbertina-Regu-Identity-H" w:cs="EUAlbertina-Regu-Identity-H"/>
          <w:sz w:val="17"/>
          <w:szCs w:val="17"/>
        </w:rPr>
      </w:pPr>
      <w:r w:rsidRPr="00692D0E">
        <w:rPr>
          <w:rStyle w:val="FootnoteReference"/>
          <w:rFonts w:ascii="Times New Roman" w:hAnsi="Times New Roman" w:cs="Times New Roman"/>
          <w:sz w:val="18"/>
          <w:szCs w:val="18"/>
        </w:rPr>
        <w:footnoteRef/>
      </w:r>
      <w:r w:rsidRPr="00692D0E">
        <w:rPr>
          <w:rFonts w:ascii="Times New Roman" w:hAnsi="Times New Roman" w:cs="Times New Roman"/>
          <w:sz w:val="18"/>
          <w:szCs w:val="18"/>
        </w:rPr>
        <w:t xml:space="preserve"> Az Európai Parlament és a Tanács 676/2002/EK határozata (2002. március 7.) az Európai Közösség rádióspektrum-politikájának keretszabályozásáról (HL L 108., 2002.4.24. 1. o.)</w:t>
      </w:r>
      <w:r>
        <w:rPr>
          <w:rFonts w:ascii="Times New Roman" w:hAnsi="Times New Roman" w:cs="Times New Roman"/>
          <w:sz w:val="18"/>
          <w:szCs w:val="18"/>
        </w:rPr>
        <w:t>.</w:t>
      </w:r>
    </w:p>
  </w:footnote>
  <w:footnote w:id="7">
    <w:p w14:paraId="2BBB03EB" w14:textId="77777777" w:rsidR="00A44122" w:rsidRPr="002F4634" w:rsidRDefault="00A44122" w:rsidP="002F4634">
      <w:pPr>
        <w:spacing w:after="0"/>
        <w:jc w:val="both"/>
        <w:rPr>
          <w:rFonts w:ascii="Calibri" w:hAnsi="Calibri" w:cs="Calibri"/>
          <w:color w:val="FF0000"/>
        </w:rPr>
      </w:pPr>
      <w:r>
        <w:rPr>
          <w:rStyle w:val="FootnoteReference"/>
        </w:rPr>
        <w:footnoteRef/>
      </w:r>
      <w:r>
        <w:t xml:space="preserve"> </w:t>
      </w:r>
      <w:r w:rsidRPr="00692D0E">
        <w:rPr>
          <w:rFonts w:ascii="Times New Roman" w:hAnsi="Times New Roman" w:cs="Times New Roman"/>
          <w:sz w:val="18"/>
          <w:szCs w:val="18"/>
        </w:rPr>
        <w:t>a Bizottság 2002. július 26-i 2002/622/EK határozata (2002. július 26.) a rádiófrekvencia-politikával foglalkozó csoport</w:t>
      </w:r>
      <w:r>
        <w:rPr>
          <w:rFonts w:ascii="Times New Roman" w:hAnsi="Times New Roman" w:cs="Times New Roman"/>
          <w:sz w:val="18"/>
          <w:szCs w:val="18"/>
        </w:rPr>
        <w:t xml:space="preserve"> </w:t>
      </w:r>
      <w:r w:rsidRPr="00692D0E">
        <w:rPr>
          <w:rFonts w:ascii="Times New Roman" w:hAnsi="Times New Roman" w:cs="Times New Roman"/>
          <w:sz w:val="18"/>
          <w:szCs w:val="18"/>
        </w:rPr>
        <w:t>létrehozásáról (HL L 198., 2002.7.27., 49. o.).</w:t>
      </w:r>
    </w:p>
  </w:footnote>
  <w:footnote w:id="8">
    <w:p w14:paraId="409219C0" w14:textId="561CE9AF" w:rsidR="00A44122" w:rsidRPr="00127179" w:rsidRDefault="00A44122" w:rsidP="0008648A">
      <w:pPr>
        <w:pStyle w:val="FootnoteText"/>
        <w:rPr>
          <w:rFonts w:ascii="Times New Roman" w:hAnsi="Times New Roman" w:cs="Times New Roman"/>
          <w:sz w:val="18"/>
          <w:szCs w:val="18"/>
        </w:rPr>
      </w:pPr>
      <w:r w:rsidRPr="00520DE8">
        <w:rPr>
          <w:rStyle w:val="FootnoteReference"/>
          <w:rFonts w:ascii="Times New Roman" w:hAnsi="Times New Roman" w:cs="Times New Roman"/>
        </w:rPr>
        <w:footnoteRef/>
      </w:r>
      <w:r w:rsidRPr="00520DE8">
        <w:rPr>
          <w:rFonts w:ascii="Times New Roman" w:hAnsi="Times New Roman" w:cs="Times New Roman"/>
        </w:rPr>
        <w:t xml:space="preserve"> </w:t>
      </w:r>
      <w:r w:rsidRPr="00127179">
        <w:rPr>
          <w:rFonts w:ascii="Times New Roman" w:hAnsi="Times New Roman" w:cs="Times New Roman"/>
          <w:sz w:val="18"/>
          <w:szCs w:val="18"/>
        </w:rPr>
        <w:t>Az Európai Parlament és a Tanács 243/2012/EU határozata (2012. március 14.) egy többéves rádióspektrum-politikai program létrehozásáról (HL L 81., 2012.3.21., 7. o.)</w:t>
      </w:r>
      <w:r>
        <w:rPr>
          <w:rFonts w:ascii="Times New Roman" w:hAnsi="Times New Roman" w:cs="Times New Roman"/>
          <w:sz w:val="18"/>
          <w:szCs w:val="18"/>
        </w:rPr>
        <w:t>.</w:t>
      </w:r>
    </w:p>
  </w:footnote>
  <w:footnote w:id="9">
    <w:p w14:paraId="3FF2AA40" w14:textId="77777777" w:rsidR="00A44122" w:rsidRPr="00520DE8" w:rsidRDefault="00A44122" w:rsidP="005F72AF">
      <w:pPr>
        <w:pStyle w:val="FootnoteText"/>
        <w:rPr>
          <w:rFonts w:ascii="Times New Roman" w:hAnsi="Times New Roman" w:cs="Times New Roman"/>
        </w:rPr>
      </w:pPr>
      <w:r w:rsidRPr="00520DE8">
        <w:rPr>
          <w:rStyle w:val="FootnoteReference"/>
          <w:rFonts w:ascii="Times New Roman" w:hAnsi="Times New Roman" w:cs="Times New Roman"/>
        </w:rPr>
        <w:footnoteRef/>
      </w:r>
      <w:r w:rsidRPr="00520DE8">
        <w:rPr>
          <w:rFonts w:ascii="Times New Roman" w:hAnsi="Times New Roman" w:cs="Times New Roman"/>
        </w:rPr>
        <w:t xml:space="preserve"> Az Európai Parlament és a Tanács 2002/58/EK irányelve (2002. július 12.) az elektronikus hírközlési ágazatban a személyes adatok kezeléséről, feldolgozásáról és a magánélet védelméről) (HL L 201., 2002.7.31., 37. o.).</w:t>
      </w:r>
    </w:p>
  </w:footnote>
  <w:footnote w:id="10">
    <w:p w14:paraId="5B7A285F" w14:textId="2E3DC06F" w:rsidR="00A44122" w:rsidRPr="00520DE8" w:rsidRDefault="00A44122">
      <w:pPr>
        <w:pStyle w:val="FootnoteText"/>
        <w:rPr>
          <w:rFonts w:ascii="Times New Roman" w:hAnsi="Times New Roman" w:cs="Times New Roman"/>
        </w:rPr>
      </w:pPr>
      <w:r w:rsidRPr="00520DE8">
        <w:rPr>
          <w:rStyle w:val="FootnoteReference"/>
          <w:rFonts w:ascii="Times New Roman" w:hAnsi="Times New Roman" w:cs="Times New Roman"/>
        </w:rPr>
        <w:footnoteRef/>
      </w:r>
      <w:r w:rsidRPr="00520DE8">
        <w:rPr>
          <w:rFonts w:ascii="Times New Roman" w:hAnsi="Times New Roman" w:cs="Times New Roman"/>
        </w:rPr>
        <w:t xml:space="preserve"> Az Európai Parlament és a Tanács (EU) 2016/679 rendelete (2016. április 27.) a természetes személyeknek a személyes adatok kezelése tekintetében történő védelméről és az ilyen adatok szabad áramlásáról, valamint a 95/46/EK irányelv hatályon kívül helyezéséről) (HL L 119., 2016.5.4., 1. o.)</w:t>
      </w:r>
      <w:r>
        <w:rPr>
          <w:rFonts w:ascii="Times New Roman" w:hAnsi="Times New Roman" w:cs="Times New Roman"/>
        </w:rPr>
        <w:t>.</w:t>
      </w:r>
    </w:p>
  </w:footnote>
  <w:footnote w:id="11">
    <w:p w14:paraId="786BBD85" w14:textId="77777777" w:rsidR="00A44122" w:rsidRPr="00520DE8" w:rsidRDefault="00A44122" w:rsidP="00050E4E">
      <w:pPr>
        <w:pStyle w:val="FootnoteText"/>
        <w:rPr>
          <w:rFonts w:ascii="Times New Roman" w:hAnsi="Times New Roman" w:cs="Times New Roman"/>
        </w:rPr>
      </w:pPr>
      <w:r w:rsidRPr="00520DE8">
        <w:rPr>
          <w:rStyle w:val="FootnoteReference"/>
          <w:rFonts w:ascii="Times New Roman" w:hAnsi="Times New Roman" w:cs="Times New Roman"/>
        </w:rPr>
        <w:footnoteRef/>
      </w:r>
      <w:r w:rsidRPr="00520DE8">
        <w:rPr>
          <w:rFonts w:ascii="Times New Roman" w:hAnsi="Times New Roman" w:cs="Times New Roman"/>
        </w:rPr>
        <w:t xml:space="preserve"> Az Európai Parlament és a Tanács 531/2012/EU rendelete (2012. június 13.) az Unión belüli nyilvános mobilhírközlő hálózatok közötti barangolásról (roaming) (HL L 172., 2012.6.30., 10. o.).</w:t>
      </w:r>
    </w:p>
  </w:footnote>
  <w:footnote w:id="12">
    <w:p w14:paraId="58527E91" w14:textId="21D0C039" w:rsidR="00A44122" w:rsidRPr="00520DE8" w:rsidRDefault="00A44122" w:rsidP="00050E4E">
      <w:pPr>
        <w:pStyle w:val="FootnoteText"/>
        <w:rPr>
          <w:rFonts w:ascii="Times New Roman" w:hAnsi="Times New Roman" w:cs="Times New Roman"/>
        </w:rPr>
      </w:pPr>
      <w:r w:rsidRPr="00520DE8">
        <w:rPr>
          <w:rStyle w:val="FootnoteReference"/>
          <w:rFonts w:ascii="Times New Roman" w:hAnsi="Times New Roman" w:cs="Times New Roman"/>
        </w:rPr>
        <w:footnoteRef/>
      </w:r>
      <w:r w:rsidRPr="00520DE8">
        <w:rPr>
          <w:rFonts w:ascii="Times New Roman" w:hAnsi="Times New Roman" w:cs="Times New Roman"/>
        </w:rPr>
        <w:t xml:space="preserve"> Az Európai Parlament és a Tanács (EU) 2015/2120 rendelete (2015. november 25.) a nyílt internet-hozzáférés megteremtéséhez szükséges intézkedések meghozataláról, továbbá az egyetemes szolgáltatásról, valamint az elektronikus hírközlő hálózatokhoz és elektronikus hírközlési szolgáltatásokhoz kapcsolódó felhasználói jogokról szóló 2002/22/EK irányelv és az Unión belüli nyilvános mobilhírközlő hálózatok közötti barangolásról (roaming) szóló 531/2012/EU rendelet módosításáról (HL L 310., 2015.11.26., 1. o.)</w:t>
      </w:r>
      <w:r>
        <w:rPr>
          <w:rFonts w:ascii="Times New Roman" w:hAnsi="Times New Roman" w:cs="Times New Roman"/>
        </w:rPr>
        <w:t>.</w:t>
      </w:r>
    </w:p>
  </w:footnote>
  <w:footnote w:id="13">
    <w:p w14:paraId="6FCE6633" w14:textId="77777777" w:rsidR="00A44122" w:rsidRDefault="00A44122">
      <w:pPr>
        <w:pStyle w:val="FootnoteText"/>
      </w:pPr>
      <w:r w:rsidRPr="00520DE8">
        <w:rPr>
          <w:rStyle w:val="FootnoteReference"/>
          <w:rFonts w:ascii="Times New Roman" w:hAnsi="Times New Roman" w:cs="Times New Roman"/>
        </w:rPr>
        <w:footnoteRef/>
      </w:r>
      <w:r w:rsidRPr="00520DE8">
        <w:rPr>
          <w:rFonts w:ascii="Times New Roman" w:hAnsi="Times New Roman" w:cs="Times New Roman"/>
        </w:rPr>
        <w:t xml:space="preserve"> Az Európai Parlament és a Tanács 2014/61/EU irányelve a nagy sebességű elektronikus hírközlő hálózatok kiépítési költségeinek csökkentésére irányuló intézkedésekről (2014. május 15.) (HL L 155., 2014.5.23., 1. o.).</w:t>
      </w:r>
    </w:p>
  </w:footnote>
  <w:footnote w:id="14">
    <w:p w14:paraId="5C33B773" w14:textId="0380C46E" w:rsidR="00A44122" w:rsidRPr="008412D1" w:rsidRDefault="00A44122">
      <w:pPr>
        <w:pStyle w:val="FootnoteText"/>
        <w:rPr>
          <w:rFonts w:ascii="Times New Roman" w:hAnsi="Times New Roman" w:cs="Times New Roman"/>
        </w:rPr>
      </w:pPr>
      <w:r w:rsidRPr="008412D1">
        <w:rPr>
          <w:rStyle w:val="FootnoteReference"/>
          <w:rFonts w:ascii="Times New Roman" w:hAnsi="Times New Roman" w:cs="Times New Roman"/>
        </w:rPr>
        <w:footnoteRef/>
      </w:r>
      <w:r w:rsidRPr="008412D1">
        <w:rPr>
          <w:rFonts w:ascii="Times New Roman" w:hAnsi="Times New Roman" w:cs="Times New Roman"/>
        </w:rPr>
        <w:t xml:space="preserve"> (EU) 2018/1972 irányelv (2018. december 11.) az Európai Elektronikus Hírközlési Kódex létrehozásáról, 15. preambulum bekezdés</w:t>
      </w:r>
      <w:r>
        <w:rPr>
          <w:rFonts w:ascii="Times New Roman" w:hAnsi="Times New Roman" w:cs="Times New Roman"/>
        </w:rPr>
        <w:t>.</w:t>
      </w:r>
    </w:p>
  </w:footnote>
  <w:footnote w:id="15">
    <w:p w14:paraId="4711999C" w14:textId="7DFC7232" w:rsidR="00A44122" w:rsidRPr="00D55B5D" w:rsidRDefault="00A44122">
      <w:pPr>
        <w:pStyle w:val="FootnoteText"/>
        <w:rPr>
          <w:rFonts w:ascii="Times New Roman" w:hAnsi="Times New Roman" w:cs="Times New Roman"/>
          <w:sz w:val="18"/>
          <w:szCs w:val="18"/>
        </w:rPr>
      </w:pPr>
      <w:r w:rsidRPr="00D55B5D">
        <w:rPr>
          <w:rStyle w:val="FootnoteReference"/>
          <w:rFonts w:ascii="Times New Roman" w:hAnsi="Times New Roman" w:cs="Times New Roman"/>
          <w:sz w:val="18"/>
          <w:szCs w:val="18"/>
        </w:rPr>
        <w:footnoteRef/>
      </w:r>
      <w:r w:rsidRPr="00D55B5D">
        <w:rPr>
          <w:rFonts w:ascii="Times New Roman" w:hAnsi="Times New Roman" w:cs="Times New Roman"/>
          <w:sz w:val="18"/>
          <w:szCs w:val="18"/>
        </w:rPr>
        <w:t xml:space="preserve"> (EU) 2018/1972 irányelv (2018. december 11.) az Európai Elektronikus Hír</w:t>
      </w:r>
      <w:r>
        <w:rPr>
          <w:rFonts w:ascii="Times New Roman" w:hAnsi="Times New Roman" w:cs="Times New Roman"/>
          <w:sz w:val="18"/>
          <w:szCs w:val="18"/>
        </w:rPr>
        <w:t>közlési Kódex létrehozásáról, 16</w:t>
      </w:r>
      <w:r w:rsidRPr="00D55B5D">
        <w:rPr>
          <w:rFonts w:ascii="Times New Roman" w:hAnsi="Times New Roman" w:cs="Times New Roman"/>
          <w:sz w:val="18"/>
          <w:szCs w:val="18"/>
        </w:rPr>
        <w:t>. preambulum bekezdés</w:t>
      </w:r>
      <w:r>
        <w:rPr>
          <w:rFonts w:ascii="Times New Roman" w:hAnsi="Times New Roman" w:cs="Times New Roman"/>
          <w:sz w:val="18"/>
          <w:szCs w:val="18"/>
        </w:rPr>
        <w:t>.</w:t>
      </w:r>
    </w:p>
  </w:footnote>
  <w:footnote w:id="16">
    <w:p w14:paraId="093EBF8E" w14:textId="085C2285" w:rsidR="00A44122" w:rsidRPr="00EA1E59" w:rsidRDefault="00A44122">
      <w:pPr>
        <w:pStyle w:val="FootnoteText"/>
        <w:rPr>
          <w:rFonts w:ascii="Times New Roman" w:hAnsi="Times New Roman" w:cs="Times New Roman"/>
          <w:sz w:val="18"/>
          <w:szCs w:val="18"/>
        </w:rPr>
      </w:pPr>
      <w:r w:rsidRPr="00EA1E59">
        <w:rPr>
          <w:rStyle w:val="FootnoteReference"/>
          <w:rFonts w:ascii="Times New Roman" w:hAnsi="Times New Roman" w:cs="Times New Roman"/>
          <w:sz w:val="18"/>
          <w:szCs w:val="18"/>
        </w:rPr>
        <w:footnoteRef/>
      </w:r>
      <w:r w:rsidRPr="00EA1E59">
        <w:rPr>
          <w:rFonts w:ascii="Times New Roman" w:hAnsi="Times New Roman" w:cs="Times New Roman"/>
          <w:sz w:val="18"/>
          <w:szCs w:val="18"/>
        </w:rPr>
        <w:t xml:space="preserve"> (EU) 2018/1972 irányelv (2018. december 11.) az Európai Elektronikus Hírközlési Kódex létrehozásáról, 257. preambulum bekezdés</w:t>
      </w:r>
      <w:r>
        <w:rPr>
          <w:rFonts w:ascii="Times New Roman" w:hAnsi="Times New Roman" w:cs="Times New Roman"/>
          <w:sz w:val="18"/>
          <w:szCs w:val="18"/>
        </w:rPr>
        <w:t>.</w:t>
      </w:r>
    </w:p>
  </w:footnote>
  <w:footnote w:id="17">
    <w:p w14:paraId="474761CF" w14:textId="5F5A78DA" w:rsidR="00A44122" w:rsidRPr="00EA1E59" w:rsidRDefault="00A44122" w:rsidP="00EA1E59">
      <w:pPr>
        <w:pStyle w:val="FootnoteText"/>
        <w:jc w:val="both"/>
        <w:rPr>
          <w:rFonts w:ascii="Times New Roman" w:hAnsi="Times New Roman" w:cs="Times New Roman"/>
          <w:sz w:val="18"/>
          <w:szCs w:val="18"/>
        </w:rPr>
      </w:pPr>
      <w:r w:rsidRPr="00EA1E59">
        <w:rPr>
          <w:rStyle w:val="FootnoteReference"/>
          <w:rFonts w:ascii="Times New Roman" w:hAnsi="Times New Roman" w:cs="Times New Roman"/>
          <w:sz w:val="18"/>
          <w:szCs w:val="18"/>
        </w:rPr>
        <w:footnoteRef/>
      </w:r>
      <w:r w:rsidRPr="00EA1E59">
        <w:rPr>
          <w:rFonts w:ascii="Times New Roman" w:hAnsi="Times New Roman" w:cs="Times New Roman"/>
          <w:sz w:val="18"/>
          <w:szCs w:val="18"/>
        </w:rPr>
        <w:t xml:space="preserve"> (EU) 2018/1972 irányelv (2018. december 11.) az Európai Elektronikus Hírk</w:t>
      </w:r>
      <w:r>
        <w:rPr>
          <w:rFonts w:ascii="Times New Roman" w:hAnsi="Times New Roman" w:cs="Times New Roman"/>
          <w:sz w:val="18"/>
          <w:szCs w:val="18"/>
        </w:rPr>
        <w:t>özlési Kódex létrehozásáról, 259</w:t>
      </w:r>
      <w:r w:rsidRPr="00EA1E59">
        <w:rPr>
          <w:rFonts w:ascii="Times New Roman" w:hAnsi="Times New Roman" w:cs="Times New Roman"/>
          <w:sz w:val="18"/>
          <w:szCs w:val="18"/>
        </w:rPr>
        <w:t>. preambulum bekezdés</w:t>
      </w:r>
      <w:r>
        <w:rPr>
          <w:rFonts w:ascii="Times New Roman" w:hAnsi="Times New Roman" w:cs="Times New Roman"/>
          <w:sz w:val="18"/>
          <w:szCs w:val="18"/>
        </w:rPr>
        <w:t>.</w:t>
      </w:r>
    </w:p>
  </w:footnote>
  <w:footnote w:id="18">
    <w:p w14:paraId="18801705" w14:textId="0304A3BD" w:rsidR="00A44122" w:rsidRPr="0004606E" w:rsidRDefault="00A44122" w:rsidP="0004606E">
      <w:pPr>
        <w:pStyle w:val="FootnoteText"/>
        <w:jc w:val="both"/>
        <w:rPr>
          <w:rFonts w:ascii="Times New Roman" w:hAnsi="Times New Roman" w:cs="Times New Roman"/>
          <w:sz w:val="18"/>
          <w:szCs w:val="18"/>
        </w:rPr>
      </w:pPr>
      <w:r w:rsidRPr="0004606E">
        <w:rPr>
          <w:rStyle w:val="FootnoteReference"/>
          <w:rFonts w:ascii="Times New Roman" w:hAnsi="Times New Roman" w:cs="Times New Roman"/>
          <w:sz w:val="18"/>
          <w:szCs w:val="18"/>
        </w:rPr>
        <w:footnoteRef/>
      </w:r>
      <w:r w:rsidRPr="0004606E">
        <w:rPr>
          <w:rFonts w:ascii="Times New Roman" w:hAnsi="Times New Roman" w:cs="Times New Roman"/>
          <w:sz w:val="18"/>
          <w:szCs w:val="18"/>
        </w:rPr>
        <w:t xml:space="preserve"> (EU) 2018/1972 irányelv (2018. december 11.) az Európai Elektronikus Hírk</w:t>
      </w:r>
      <w:r>
        <w:rPr>
          <w:rFonts w:ascii="Times New Roman" w:hAnsi="Times New Roman" w:cs="Times New Roman"/>
          <w:sz w:val="18"/>
          <w:szCs w:val="18"/>
        </w:rPr>
        <w:t>özlési Kódex létrehozásáról, 283</w:t>
      </w:r>
      <w:r w:rsidRPr="0004606E">
        <w:rPr>
          <w:rFonts w:ascii="Times New Roman" w:hAnsi="Times New Roman" w:cs="Times New Roman"/>
          <w:sz w:val="18"/>
          <w:szCs w:val="18"/>
        </w:rPr>
        <w:t>. preambulum bekezdés</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AF1"/>
    <w:multiLevelType w:val="hybridMultilevel"/>
    <w:tmpl w:val="81FE5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A6D6100"/>
    <w:multiLevelType w:val="hybridMultilevel"/>
    <w:tmpl w:val="576C3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E7F7426"/>
    <w:multiLevelType w:val="hybridMultilevel"/>
    <w:tmpl w:val="E34A40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CC2B2D"/>
    <w:multiLevelType w:val="hybridMultilevel"/>
    <w:tmpl w:val="DA12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E71327C"/>
    <w:multiLevelType w:val="hybridMultilevel"/>
    <w:tmpl w:val="2C342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2D077F6"/>
    <w:multiLevelType w:val="hybridMultilevel"/>
    <w:tmpl w:val="5D76E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8682118"/>
    <w:multiLevelType w:val="hybridMultilevel"/>
    <w:tmpl w:val="873A2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D040FAC"/>
    <w:multiLevelType w:val="hybridMultilevel"/>
    <w:tmpl w:val="A09C01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A05CD7"/>
    <w:multiLevelType w:val="hybridMultilevel"/>
    <w:tmpl w:val="46B04E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92"/>
    <w:rsid w:val="0000150D"/>
    <w:rsid w:val="00013534"/>
    <w:rsid w:val="00022DC5"/>
    <w:rsid w:val="000311C8"/>
    <w:rsid w:val="00032C32"/>
    <w:rsid w:val="000352BD"/>
    <w:rsid w:val="00041C7E"/>
    <w:rsid w:val="00042437"/>
    <w:rsid w:val="0004426C"/>
    <w:rsid w:val="0004606E"/>
    <w:rsid w:val="00050E4E"/>
    <w:rsid w:val="00051078"/>
    <w:rsid w:val="00051F58"/>
    <w:rsid w:val="000529DE"/>
    <w:rsid w:val="000616F5"/>
    <w:rsid w:val="00075917"/>
    <w:rsid w:val="00081A5B"/>
    <w:rsid w:val="0008648A"/>
    <w:rsid w:val="000A58A6"/>
    <w:rsid w:val="000B3CEF"/>
    <w:rsid w:val="000B400C"/>
    <w:rsid w:val="000B4CF5"/>
    <w:rsid w:val="000B7499"/>
    <w:rsid w:val="000B75F3"/>
    <w:rsid w:val="000B7EE6"/>
    <w:rsid w:val="000C44E0"/>
    <w:rsid w:val="000D0FD5"/>
    <w:rsid w:val="000D0FFF"/>
    <w:rsid w:val="000D16B4"/>
    <w:rsid w:val="000D346D"/>
    <w:rsid w:val="000D3A87"/>
    <w:rsid w:val="000E3491"/>
    <w:rsid w:val="000E50E8"/>
    <w:rsid w:val="000E5926"/>
    <w:rsid w:val="000E7FCA"/>
    <w:rsid w:val="0010061D"/>
    <w:rsid w:val="00101B31"/>
    <w:rsid w:val="00107A98"/>
    <w:rsid w:val="00107C07"/>
    <w:rsid w:val="00121002"/>
    <w:rsid w:val="00127179"/>
    <w:rsid w:val="0013171E"/>
    <w:rsid w:val="001338B8"/>
    <w:rsid w:val="00137380"/>
    <w:rsid w:val="001430FE"/>
    <w:rsid w:val="0014328A"/>
    <w:rsid w:val="001449D1"/>
    <w:rsid w:val="00147F76"/>
    <w:rsid w:val="00151375"/>
    <w:rsid w:val="00152561"/>
    <w:rsid w:val="00153326"/>
    <w:rsid w:val="00153FBD"/>
    <w:rsid w:val="001571AE"/>
    <w:rsid w:val="00157E24"/>
    <w:rsid w:val="00160E66"/>
    <w:rsid w:val="00161245"/>
    <w:rsid w:val="00161EB8"/>
    <w:rsid w:val="0017055C"/>
    <w:rsid w:val="00171179"/>
    <w:rsid w:val="001724E8"/>
    <w:rsid w:val="00174D6E"/>
    <w:rsid w:val="0018229D"/>
    <w:rsid w:val="001851F5"/>
    <w:rsid w:val="00186E2D"/>
    <w:rsid w:val="001914D6"/>
    <w:rsid w:val="001938EB"/>
    <w:rsid w:val="001960F1"/>
    <w:rsid w:val="001A10B1"/>
    <w:rsid w:val="001A396F"/>
    <w:rsid w:val="001A6F8A"/>
    <w:rsid w:val="001B366C"/>
    <w:rsid w:val="001B62C2"/>
    <w:rsid w:val="001C13D9"/>
    <w:rsid w:val="001C1DF3"/>
    <w:rsid w:val="001D13CF"/>
    <w:rsid w:val="001D45B4"/>
    <w:rsid w:val="001E0151"/>
    <w:rsid w:val="001E5E37"/>
    <w:rsid w:val="001F252B"/>
    <w:rsid w:val="001F48F6"/>
    <w:rsid w:val="001F76B6"/>
    <w:rsid w:val="00200222"/>
    <w:rsid w:val="002005BE"/>
    <w:rsid w:val="00201075"/>
    <w:rsid w:val="002017A4"/>
    <w:rsid w:val="00201FB8"/>
    <w:rsid w:val="00211DFA"/>
    <w:rsid w:val="00212676"/>
    <w:rsid w:val="00222BE7"/>
    <w:rsid w:val="00231390"/>
    <w:rsid w:val="00232EEA"/>
    <w:rsid w:val="002351B6"/>
    <w:rsid w:val="00237DB9"/>
    <w:rsid w:val="00237F7E"/>
    <w:rsid w:val="002426A9"/>
    <w:rsid w:val="00251C1A"/>
    <w:rsid w:val="00253F76"/>
    <w:rsid w:val="00267721"/>
    <w:rsid w:val="00277120"/>
    <w:rsid w:val="00283F37"/>
    <w:rsid w:val="002843F0"/>
    <w:rsid w:val="00295015"/>
    <w:rsid w:val="002961D8"/>
    <w:rsid w:val="002A2BEE"/>
    <w:rsid w:val="002A4313"/>
    <w:rsid w:val="002A4518"/>
    <w:rsid w:val="002A55EB"/>
    <w:rsid w:val="002A60DB"/>
    <w:rsid w:val="002B1F3C"/>
    <w:rsid w:val="002B425C"/>
    <w:rsid w:val="002B6233"/>
    <w:rsid w:val="002C1D47"/>
    <w:rsid w:val="002C2349"/>
    <w:rsid w:val="002C3F0A"/>
    <w:rsid w:val="002C5409"/>
    <w:rsid w:val="002D1920"/>
    <w:rsid w:val="002D7BCD"/>
    <w:rsid w:val="002E465D"/>
    <w:rsid w:val="002E5079"/>
    <w:rsid w:val="002E601D"/>
    <w:rsid w:val="002F4456"/>
    <w:rsid w:val="002F4634"/>
    <w:rsid w:val="0030698F"/>
    <w:rsid w:val="00317680"/>
    <w:rsid w:val="00322C02"/>
    <w:rsid w:val="0032621E"/>
    <w:rsid w:val="00331964"/>
    <w:rsid w:val="00332B0B"/>
    <w:rsid w:val="00336F2D"/>
    <w:rsid w:val="00337C18"/>
    <w:rsid w:val="00340239"/>
    <w:rsid w:val="003414B0"/>
    <w:rsid w:val="003466A2"/>
    <w:rsid w:val="00350988"/>
    <w:rsid w:val="00351E0A"/>
    <w:rsid w:val="00357BC2"/>
    <w:rsid w:val="00360CFD"/>
    <w:rsid w:val="00361408"/>
    <w:rsid w:val="00362FE7"/>
    <w:rsid w:val="00370EEA"/>
    <w:rsid w:val="00381BCA"/>
    <w:rsid w:val="003824BE"/>
    <w:rsid w:val="00385479"/>
    <w:rsid w:val="00393A25"/>
    <w:rsid w:val="00396B37"/>
    <w:rsid w:val="003A4036"/>
    <w:rsid w:val="003A4DF8"/>
    <w:rsid w:val="003B350C"/>
    <w:rsid w:val="003B5146"/>
    <w:rsid w:val="003B557B"/>
    <w:rsid w:val="003B6866"/>
    <w:rsid w:val="003C414A"/>
    <w:rsid w:val="003D0928"/>
    <w:rsid w:val="003D4615"/>
    <w:rsid w:val="003D4D2E"/>
    <w:rsid w:val="003E0674"/>
    <w:rsid w:val="003F1F3B"/>
    <w:rsid w:val="003F5314"/>
    <w:rsid w:val="00401A6F"/>
    <w:rsid w:val="00402278"/>
    <w:rsid w:val="00403D9E"/>
    <w:rsid w:val="00404C16"/>
    <w:rsid w:val="00410733"/>
    <w:rsid w:val="00420E4F"/>
    <w:rsid w:val="00423E8F"/>
    <w:rsid w:val="004269FE"/>
    <w:rsid w:val="004317BD"/>
    <w:rsid w:val="00435721"/>
    <w:rsid w:val="00445B4F"/>
    <w:rsid w:val="00450FA3"/>
    <w:rsid w:val="004603AC"/>
    <w:rsid w:val="00464D7B"/>
    <w:rsid w:val="00480390"/>
    <w:rsid w:val="00483589"/>
    <w:rsid w:val="00484E0F"/>
    <w:rsid w:val="00486238"/>
    <w:rsid w:val="004921FA"/>
    <w:rsid w:val="00492D11"/>
    <w:rsid w:val="004A2BA0"/>
    <w:rsid w:val="004A41B1"/>
    <w:rsid w:val="004A5817"/>
    <w:rsid w:val="004A58A2"/>
    <w:rsid w:val="004B053C"/>
    <w:rsid w:val="004C207D"/>
    <w:rsid w:val="004D7698"/>
    <w:rsid w:val="004E0821"/>
    <w:rsid w:val="004E3C4C"/>
    <w:rsid w:val="004E6B2F"/>
    <w:rsid w:val="004E749F"/>
    <w:rsid w:val="005000F7"/>
    <w:rsid w:val="00504184"/>
    <w:rsid w:val="005111E1"/>
    <w:rsid w:val="0051475B"/>
    <w:rsid w:val="00515270"/>
    <w:rsid w:val="00520DE8"/>
    <w:rsid w:val="00534DC7"/>
    <w:rsid w:val="00542279"/>
    <w:rsid w:val="005444C8"/>
    <w:rsid w:val="00547E8E"/>
    <w:rsid w:val="005522A7"/>
    <w:rsid w:val="00553FDC"/>
    <w:rsid w:val="00563287"/>
    <w:rsid w:val="00577842"/>
    <w:rsid w:val="005778BD"/>
    <w:rsid w:val="00577C63"/>
    <w:rsid w:val="005A0BA8"/>
    <w:rsid w:val="005C02AB"/>
    <w:rsid w:val="005D1C60"/>
    <w:rsid w:val="005D5C42"/>
    <w:rsid w:val="005E709C"/>
    <w:rsid w:val="005E79AA"/>
    <w:rsid w:val="005F72AF"/>
    <w:rsid w:val="005F7A53"/>
    <w:rsid w:val="0060250C"/>
    <w:rsid w:val="00604B54"/>
    <w:rsid w:val="00615B77"/>
    <w:rsid w:val="00617E42"/>
    <w:rsid w:val="00630A11"/>
    <w:rsid w:val="00634251"/>
    <w:rsid w:val="006347B7"/>
    <w:rsid w:val="006509CB"/>
    <w:rsid w:val="006531ED"/>
    <w:rsid w:val="006538D6"/>
    <w:rsid w:val="0065763B"/>
    <w:rsid w:val="00665E4B"/>
    <w:rsid w:val="0068195E"/>
    <w:rsid w:val="00691D8F"/>
    <w:rsid w:val="00692D0E"/>
    <w:rsid w:val="00695E78"/>
    <w:rsid w:val="006A5264"/>
    <w:rsid w:val="006B0FD9"/>
    <w:rsid w:val="006B18CC"/>
    <w:rsid w:val="006C5B64"/>
    <w:rsid w:val="006C66E4"/>
    <w:rsid w:val="006E0A77"/>
    <w:rsid w:val="006E24BE"/>
    <w:rsid w:val="006E3065"/>
    <w:rsid w:val="006E6B6A"/>
    <w:rsid w:val="006E6F74"/>
    <w:rsid w:val="006E7C8C"/>
    <w:rsid w:val="006F06DD"/>
    <w:rsid w:val="006F371D"/>
    <w:rsid w:val="006F600F"/>
    <w:rsid w:val="00700317"/>
    <w:rsid w:val="00703E55"/>
    <w:rsid w:val="0070709A"/>
    <w:rsid w:val="00711C03"/>
    <w:rsid w:val="00712544"/>
    <w:rsid w:val="007126A8"/>
    <w:rsid w:val="00713C22"/>
    <w:rsid w:val="00720426"/>
    <w:rsid w:val="00721B40"/>
    <w:rsid w:val="007300BA"/>
    <w:rsid w:val="00737412"/>
    <w:rsid w:val="00737CD1"/>
    <w:rsid w:val="00741DDE"/>
    <w:rsid w:val="0074645E"/>
    <w:rsid w:val="00751CEF"/>
    <w:rsid w:val="00753EC2"/>
    <w:rsid w:val="00756E0E"/>
    <w:rsid w:val="00761928"/>
    <w:rsid w:val="00770BA3"/>
    <w:rsid w:val="007726D2"/>
    <w:rsid w:val="00777D00"/>
    <w:rsid w:val="00783E46"/>
    <w:rsid w:val="00793184"/>
    <w:rsid w:val="007A2404"/>
    <w:rsid w:val="007A385D"/>
    <w:rsid w:val="007A42C4"/>
    <w:rsid w:val="007A6772"/>
    <w:rsid w:val="007B449C"/>
    <w:rsid w:val="007C7797"/>
    <w:rsid w:val="007D0A68"/>
    <w:rsid w:val="007D2E41"/>
    <w:rsid w:val="007D4FF1"/>
    <w:rsid w:val="007E063C"/>
    <w:rsid w:val="007E2E2E"/>
    <w:rsid w:val="007E7757"/>
    <w:rsid w:val="007F2709"/>
    <w:rsid w:val="007F402F"/>
    <w:rsid w:val="00800EC4"/>
    <w:rsid w:val="008043CF"/>
    <w:rsid w:val="0080591D"/>
    <w:rsid w:val="008112C7"/>
    <w:rsid w:val="0081511B"/>
    <w:rsid w:val="00822AEB"/>
    <w:rsid w:val="0082650A"/>
    <w:rsid w:val="0083148B"/>
    <w:rsid w:val="00836331"/>
    <w:rsid w:val="008412D1"/>
    <w:rsid w:val="008510DA"/>
    <w:rsid w:val="00857DD5"/>
    <w:rsid w:val="00867632"/>
    <w:rsid w:val="008712BB"/>
    <w:rsid w:val="00875BFF"/>
    <w:rsid w:val="00875F62"/>
    <w:rsid w:val="008827BE"/>
    <w:rsid w:val="008827CE"/>
    <w:rsid w:val="00891170"/>
    <w:rsid w:val="00896E42"/>
    <w:rsid w:val="008A1E1B"/>
    <w:rsid w:val="008A42E8"/>
    <w:rsid w:val="008A5A5F"/>
    <w:rsid w:val="008B0A52"/>
    <w:rsid w:val="008B0C44"/>
    <w:rsid w:val="008C138A"/>
    <w:rsid w:val="008C7144"/>
    <w:rsid w:val="008C762F"/>
    <w:rsid w:val="008E0F29"/>
    <w:rsid w:val="008E1D3B"/>
    <w:rsid w:val="00903520"/>
    <w:rsid w:val="00903FB9"/>
    <w:rsid w:val="00905CE7"/>
    <w:rsid w:val="00907E54"/>
    <w:rsid w:val="009101BB"/>
    <w:rsid w:val="00912B93"/>
    <w:rsid w:val="00917E9A"/>
    <w:rsid w:val="00923761"/>
    <w:rsid w:val="00944C07"/>
    <w:rsid w:val="00946058"/>
    <w:rsid w:val="00952ADB"/>
    <w:rsid w:val="0095596C"/>
    <w:rsid w:val="00960968"/>
    <w:rsid w:val="009611B7"/>
    <w:rsid w:val="00964454"/>
    <w:rsid w:val="009707EA"/>
    <w:rsid w:val="00971079"/>
    <w:rsid w:val="00972A94"/>
    <w:rsid w:val="00977A67"/>
    <w:rsid w:val="00985ABA"/>
    <w:rsid w:val="009867A1"/>
    <w:rsid w:val="00987571"/>
    <w:rsid w:val="0098770F"/>
    <w:rsid w:val="009A66FC"/>
    <w:rsid w:val="009B2B8E"/>
    <w:rsid w:val="009B3443"/>
    <w:rsid w:val="009B6E71"/>
    <w:rsid w:val="009B7B71"/>
    <w:rsid w:val="009C29A0"/>
    <w:rsid w:val="009C2DC1"/>
    <w:rsid w:val="009D22D9"/>
    <w:rsid w:val="009E5128"/>
    <w:rsid w:val="009F478B"/>
    <w:rsid w:val="00A01B00"/>
    <w:rsid w:val="00A03E8B"/>
    <w:rsid w:val="00A075E7"/>
    <w:rsid w:val="00A15A0C"/>
    <w:rsid w:val="00A26B28"/>
    <w:rsid w:val="00A311DA"/>
    <w:rsid w:val="00A33C42"/>
    <w:rsid w:val="00A44122"/>
    <w:rsid w:val="00A55EBB"/>
    <w:rsid w:val="00A70973"/>
    <w:rsid w:val="00A87D2C"/>
    <w:rsid w:val="00A91EC8"/>
    <w:rsid w:val="00A971E8"/>
    <w:rsid w:val="00AB2CC5"/>
    <w:rsid w:val="00AB3949"/>
    <w:rsid w:val="00AB3F91"/>
    <w:rsid w:val="00AC060B"/>
    <w:rsid w:val="00AC20F2"/>
    <w:rsid w:val="00AC41C1"/>
    <w:rsid w:val="00AC452E"/>
    <w:rsid w:val="00AC46EA"/>
    <w:rsid w:val="00AC6980"/>
    <w:rsid w:val="00AC75BC"/>
    <w:rsid w:val="00AD7185"/>
    <w:rsid w:val="00AE2E17"/>
    <w:rsid w:val="00B017C3"/>
    <w:rsid w:val="00B074AF"/>
    <w:rsid w:val="00B123CE"/>
    <w:rsid w:val="00B13558"/>
    <w:rsid w:val="00B2024C"/>
    <w:rsid w:val="00B313A2"/>
    <w:rsid w:val="00B43312"/>
    <w:rsid w:val="00B43E47"/>
    <w:rsid w:val="00B452E6"/>
    <w:rsid w:val="00B46BE1"/>
    <w:rsid w:val="00B65497"/>
    <w:rsid w:val="00B76983"/>
    <w:rsid w:val="00B77040"/>
    <w:rsid w:val="00B83BE6"/>
    <w:rsid w:val="00B95847"/>
    <w:rsid w:val="00BA1C73"/>
    <w:rsid w:val="00BA4E0A"/>
    <w:rsid w:val="00BA7F78"/>
    <w:rsid w:val="00BB2ECE"/>
    <w:rsid w:val="00BB3035"/>
    <w:rsid w:val="00BB34FC"/>
    <w:rsid w:val="00BB5BA4"/>
    <w:rsid w:val="00BB5D56"/>
    <w:rsid w:val="00BC1250"/>
    <w:rsid w:val="00BC73BF"/>
    <w:rsid w:val="00BE0297"/>
    <w:rsid w:val="00BF177E"/>
    <w:rsid w:val="00BF4DA3"/>
    <w:rsid w:val="00C02C26"/>
    <w:rsid w:val="00C1301E"/>
    <w:rsid w:val="00C30530"/>
    <w:rsid w:val="00C35940"/>
    <w:rsid w:val="00C402E4"/>
    <w:rsid w:val="00C45F77"/>
    <w:rsid w:val="00C46C5C"/>
    <w:rsid w:val="00C47DA1"/>
    <w:rsid w:val="00C47EF5"/>
    <w:rsid w:val="00C53D8D"/>
    <w:rsid w:val="00C561E8"/>
    <w:rsid w:val="00C570AD"/>
    <w:rsid w:val="00C62EB0"/>
    <w:rsid w:val="00C6627B"/>
    <w:rsid w:val="00C6690D"/>
    <w:rsid w:val="00C71DEC"/>
    <w:rsid w:val="00C7578F"/>
    <w:rsid w:val="00C82044"/>
    <w:rsid w:val="00C834AC"/>
    <w:rsid w:val="00C87412"/>
    <w:rsid w:val="00C91E9A"/>
    <w:rsid w:val="00C92FA8"/>
    <w:rsid w:val="00C95F08"/>
    <w:rsid w:val="00C9771D"/>
    <w:rsid w:val="00C97A2C"/>
    <w:rsid w:val="00CA0309"/>
    <w:rsid w:val="00CA0F0B"/>
    <w:rsid w:val="00CA4CA7"/>
    <w:rsid w:val="00CA6B05"/>
    <w:rsid w:val="00CA6FD7"/>
    <w:rsid w:val="00CC1FEB"/>
    <w:rsid w:val="00CC4171"/>
    <w:rsid w:val="00CC49F4"/>
    <w:rsid w:val="00CC4DDD"/>
    <w:rsid w:val="00CD05FB"/>
    <w:rsid w:val="00CE226A"/>
    <w:rsid w:val="00CE6B31"/>
    <w:rsid w:val="00CF02E4"/>
    <w:rsid w:val="00D05C7C"/>
    <w:rsid w:val="00D05CFB"/>
    <w:rsid w:val="00D24365"/>
    <w:rsid w:val="00D37423"/>
    <w:rsid w:val="00D37C90"/>
    <w:rsid w:val="00D43ABD"/>
    <w:rsid w:val="00D446A2"/>
    <w:rsid w:val="00D5207D"/>
    <w:rsid w:val="00D54E01"/>
    <w:rsid w:val="00D55B5D"/>
    <w:rsid w:val="00D5787B"/>
    <w:rsid w:val="00D60973"/>
    <w:rsid w:val="00D62094"/>
    <w:rsid w:val="00D64819"/>
    <w:rsid w:val="00D6497A"/>
    <w:rsid w:val="00D70B12"/>
    <w:rsid w:val="00D71053"/>
    <w:rsid w:val="00D81521"/>
    <w:rsid w:val="00D8582C"/>
    <w:rsid w:val="00D968C8"/>
    <w:rsid w:val="00D97902"/>
    <w:rsid w:val="00DA12CB"/>
    <w:rsid w:val="00DA4D49"/>
    <w:rsid w:val="00DA6657"/>
    <w:rsid w:val="00DA7E73"/>
    <w:rsid w:val="00DB3CD2"/>
    <w:rsid w:val="00DB77EC"/>
    <w:rsid w:val="00DC6D4B"/>
    <w:rsid w:val="00DD110C"/>
    <w:rsid w:val="00DE138D"/>
    <w:rsid w:val="00DE3058"/>
    <w:rsid w:val="00DF21AC"/>
    <w:rsid w:val="00DF708B"/>
    <w:rsid w:val="00E01C72"/>
    <w:rsid w:val="00E1325D"/>
    <w:rsid w:val="00E21E80"/>
    <w:rsid w:val="00E328EE"/>
    <w:rsid w:val="00E42A55"/>
    <w:rsid w:val="00E5095D"/>
    <w:rsid w:val="00E5647C"/>
    <w:rsid w:val="00E56C61"/>
    <w:rsid w:val="00E6203D"/>
    <w:rsid w:val="00E62D4E"/>
    <w:rsid w:val="00E66855"/>
    <w:rsid w:val="00E66C05"/>
    <w:rsid w:val="00E677FE"/>
    <w:rsid w:val="00E830B7"/>
    <w:rsid w:val="00E8436F"/>
    <w:rsid w:val="00E861A2"/>
    <w:rsid w:val="00E928BA"/>
    <w:rsid w:val="00EA1E59"/>
    <w:rsid w:val="00EA4638"/>
    <w:rsid w:val="00EA7495"/>
    <w:rsid w:val="00EC5EBE"/>
    <w:rsid w:val="00ED3CB9"/>
    <w:rsid w:val="00ED5B1F"/>
    <w:rsid w:val="00EE4453"/>
    <w:rsid w:val="00EF32CA"/>
    <w:rsid w:val="00F00487"/>
    <w:rsid w:val="00F15CF2"/>
    <w:rsid w:val="00F175C9"/>
    <w:rsid w:val="00F2002A"/>
    <w:rsid w:val="00F20C7A"/>
    <w:rsid w:val="00F34597"/>
    <w:rsid w:val="00F34ACD"/>
    <w:rsid w:val="00F35220"/>
    <w:rsid w:val="00F423E5"/>
    <w:rsid w:val="00F4737B"/>
    <w:rsid w:val="00F6453D"/>
    <w:rsid w:val="00F80163"/>
    <w:rsid w:val="00F80873"/>
    <w:rsid w:val="00F87592"/>
    <w:rsid w:val="00F9022A"/>
    <w:rsid w:val="00F96515"/>
    <w:rsid w:val="00FA7BF3"/>
    <w:rsid w:val="00FC3E85"/>
    <w:rsid w:val="00FC5F5E"/>
    <w:rsid w:val="00FD1111"/>
    <w:rsid w:val="00FD7759"/>
    <w:rsid w:val="00FE29C1"/>
    <w:rsid w:val="00FE33C6"/>
    <w:rsid w:val="00FE4D38"/>
    <w:rsid w:val="00FE5A92"/>
    <w:rsid w:val="00FE5EEB"/>
    <w:rsid w:val="00FF737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FCA"/>
    <w:rPr>
      <w:sz w:val="20"/>
      <w:szCs w:val="20"/>
    </w:rPr>
  </w:style>
  <w:style w:type="character" w:styleId="FootnoteReference">
    <w:name w:val="footnote reference"/>
    <w:basedOn w:val="DefaultParagraphFont"/>
    <w:uiPriority w:val="99"/>
    <w:semiHidden/>
    <w:unhideWhenUsed/>
    <w:rsid w:val="000E7FCA"/>
    <w:rPr>
      <w:vertAlign w:val="superscript"/>
    </w:rPr>
  </w:style>
  <w:style w:type="paragraph" w:styleId="BalloonText">
    <w:name w:val="Balloon Text"/>
    <w:basedOn w:val="Normal"/>
    <w:link w:val="BalloonTextChar"/>
    <w:uiPriority w:val="99"/>
    <w:semiHidden/>
    <w:unhideWhenUsed/>
    <w:rsid w:val="002A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18"/>
    <w:rPr>
      <w:rFonts w:ascii="Tahoma" w:hAnsi="Tahoma" w:cs="Tahoma"/>
      <w:sz w:val="16"/>
      <w:szCs w:val="16"/>
    </w:rPr>
  </w:style>
  <w:style w:type="paragraph" w:styleId="ListParagraph">
    <w:name w:val="List Paragraph"/>
    <w:basedOn w:val="Normal"/>
    <w:uiPriority w:val="34"/>
    <w:qFormat/>
    <w:rsid w:val="002A4518"/>
    <w:pPr>
      <w:ind w:left="720"/>
      <w:contextualSpacing/>
    </w:pPr>
  </w:style>
  <w:style w:type="character" w:styleId="Hyperlink">
    <w:name w:val="Hyperlink"/>
    <w:basedOn w:val="DefaultParagraphFont"/>
    <w:uiPriority w:val="99"/>
    <w:unhideWhenUsed/>
    <w:rsid w:val="007A2404"/>
    <w:rPr>
      <w:color w:val="0000FF" w:themeColor="hyperlink"/>
      <w:u w:val="single"/>
    </w:rPr>
  </w:style>
  <w:style w:type="character" w:styleId="FollowedHyperlink">
    <w:name w:val="FollowedHyperlink"/>
    <w:basedOn w:val="DefaultParagraphFont"/>
    <w:uiPriority w:val="99"/>
    <w:semiHidden/>
    <w:unhideWhenUsed/>
    <w:rsid w:val="007A24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FCA"/>
    <w:rPr>
      <w:sz w:val="20"/>
      <w:szCs w:val="20"/>
    </w:rPr>
  </w:style>
  <w:style w:type="character" w:styleId="FootnoteReference">
    <w:name w:val="footnote reference"/>
    <w:basedOn w:val="DefaultParagraphFont"/>
    <w:uiPriority w:val="99"/>
    <w:semiHidden/>
    <w:unhideWhenUsed/>
    <w:rsid w:val="000E7FCA"/>
    <w:rPr>
      <w:vertAlign w:val="superscript"/>
    </w:rPr>
  </w:style>
  <w:style w:type="paragraph" w:styleId="BalloonText">
    <w:name w:val="Balloon Text"/>
    <w:basedOn w:val="Normal"/>
    <w:link w:val="BalloonTextChar"/>
    <w:uiPriority w:val="99"/>
    <w:semiHidden/>
    <w:unhideWhenUsed/>
    <w:rsid w:val="002A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18"/>
    <w:rPr>
      <w:rFonts w:ascii="Tahoma" w:hAnsi="Tahoma" w:cs="Tahoma"/>
      <w:sz w:val="16"/>
      <w:szCs w:val="16"/>
    </w:rPr>
  </w:style>
  <w:style w:type="paragraph" w:styleId="ListParagraph">
    <w:name w:val="List Paragraph"/>
    <w:basedOn w:val="Normal"/>
    <w:uiPriority w:val="34"/>
    <w:qFormat/>
    <w:rsid w:val="002A4518"/>
    <w:pPr>
      <w:ind w:left="720"/>
      <w:contextualSpacing/>
    </w:pPr>
  </w:style>
  <w:style w:type="character" w:styleId="Hyperlink">
    <w:name w:val="Hyperlink"/>
    <w:basedOn w:val="DefaultParagraphFont"/>
    <w:uiPriority w:val="99"/>
    <w:unhideWhenUsed/>
    <w:rsid w:val="007A2404"/>
    <w:rPr>
      <w:color w:val="0000FF" w:themeColor="hyperlink"/>
      <w:u w:val="single"/>
    </w:rPr>
  </w:style>
  <w:style w:type="character" w:styleId="FollowedHyperlink">
    <w:name w:val="FollowedHyperlink"/>
    <w:basedOn w:val="DefaultParagraphFont"/>
    <w:uiPriority w:val="99"/>
    <w:semiHidden/>
    <w:unhideWhenUsed/>
    <w:rsid w:val="007A2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itaKovacs@telenor.hu"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2181-6E94-F243-8D52-7AE7B81B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2955</Words>
  <Characters>22110</Characters>
  <Application>Microsoft Macintosh Word</Application>
  <DocSecurity>0</DocSecurity>
  <Lines>381</Lines>
  <Paragraphs>70</Paragraphs>
  <ScaleCrop>false</ScaleCrop>
  <HeadingPairs>
    <vt:vector size="2" baseType="variant">
      <vt:variant>
        <vt:lpstr>Title</vt:lpstr>
      </vt:variant>
      <vt:variant>
        <vt:i4>1</vt:i4>
      </vt:variant>
    </vt:vector>
  </HeadingPairs>
  <TitlesOfParts>
    <vt:vector size="1" baseType="lpstr">
      <vt:lpstr/>
    </vt:vector>
  </TitlesOfParts>
  <Company>Telenor</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Anita dr.</dc:creator>
  <cp:lastModifiedBy>Csaba Szabo</cp:lastModifiedBy>
  <cp:revision>21</cp:revision>
  <dcterms:created xsi:type="dcterms:W3CDTF">2019-02-03T16:17:00Z</dcterms:created>
  <dcterms:modified xsi:type="dcterms:W3CDTF">2019-02-12T19:16:00Z</dcterms:modified>
</cp:coreProperties>
</file>